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6A6" w:rsidRPr="00FC7BBB" w:rsidRDefault="004B6C83" w:rsidP="006176A6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 w:rsidRPr="004D5146">
        <w:rPr>
          <w:rFonts w:ascii="Arial" w:hAnsi="Arial" w:cs="Arial"/>
          <w:b/>
          <w:sz w:val="24"/>
        </w:rPr>
        <w:t xml:space="preserve">3GPP TSG RAN WG1 Meeting </w:t>
      </w:r>
      <w:r>
        <w:rPr>
          <w:rFonts w:ascii="Arial" w:hAnsi="Arial" w:cs="Arial"/>
          <w:b/>
          <w:sz w:val="24"/>
        </w:rPr>
        <w:t>#</w:t>
      </w:r>
      <w:r w:rsidRPr="004D5146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 xml:space="preserve">2           </w:t>
      </w:r>
      <w:r w:rsidR="006176A6" w:rsidRPr="00236D61">
        <w:rPr>
          <w:rFonts w:ascii="Arial" w:hAnsi="Arial" w:cs="Arial"/>
          <w:b/>
          <w:sz w:val="24"/>
        </w:rPr>
        <w:t xml:space="preserve">                                                      R1-</w:t>
      </w:r>
      <w:r w:rsidR="00236D61" w:rsidRPr="00236D61">
        <w:rPr>
          <w:rFonts w:ascii="Arial" w:hAnsi="Arial" w:cs="Arial"/>
          <w:b/>
          <w:sz w:val="24"/>
        </w:rPr>
        <w:t>1802432</w:t>
      </w:r>
    </w:p>
    <w:p w:rsidR="006176A6" w:rsidRPr="00FC7BBB" w:rsidRDefault="006176A6" w:rsidP="006176A6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Pr="0059512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Pr="00595121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  <w:vertAlign w:val="superscript"/>
        </w:rPr>
        <w:t xml:space="preserve">th </w:t>
      </w:r>
      <w:r w:rsidRPr="00595121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March 2</w:t>
      </w:r>
      <w:r>
        <w:rPr>
          <w:rFonts w:ascii="Arial" w:hAnsi="Arial" w:cs="Arial"/>
          <w:b/>
          <w:bCs/>
          <w:sz w:val="24"/>
          <w:vertAlign w:val="superscript"/>
        </w:rPr>
        <w:t>nd</w:t>
      </w:r>
      <w:r w:rsidRPr="00595121">
        <w:rPr>
          <w:rFonts w:ascii="Arial" w:hAnsi="Arial" w:cs="Arial"/>
          <w:b/>
          <w:bCs/>
          <w:sz w:val="24"/>
        </w:rPr>
        <w:t>, 201</w:t>
      </w:r>
      <w:r>
        <w:rPr>
          <w:rFonts w:ascii="Arial" w:hAnsi="Arial" w:cs="Arial"/>
          <w:b/>
          <w:bCs/>
          <w:sz w:val="24"/>
        </w:rPr>
        <w:t>8</w:t>
      </w:r>
      <w:r w:rsidRPr="00FC7BBB">
        <w:rPr>
          <w:rFonts w:ascii="Arial" w:hAnsi="Arial" w:cs="Arial"/>
          <w:b/>
          <w:sz w:val="24"/>
        </w:rPr>
        <w:t xml:space="preserve">  </w:t>
      </w:r>
    </w:p>
    <w:p w:rsidR="006176A6" w:rsidRPr="00EE1833" w:rsidRDefault="006176A6" w:rsidP="006176A6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bookmarkStart w:id="0" w:name="Source"/>
      <w:bookmarkEnd w:id="0"/>
    </w:p>
    <w:p w:rsidR="006176A6" w:rsidRDefault="006176A6" w:rsidP="006176A6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36D61">
        <w:rPr>
          <w:rFonts w:ascii="Arial" w:hAnsi="Arial" w:cs="Arial"/>
          <w:b/>
          <w:bCs/>
          <w:sz w:val="24"/>
          <w:lang w:val="en-US"/>
        </w:rPr>
        <w:t>7.6.2</w:t>
      </w:r>
    </w:p>
    <w:p w:rsidR="006176A6" w:rsidRPr="0099619E" w:rsidRDefault="006176A6" w:rsidP="006176A6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 w:eastAsia="ko-KR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6176A6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6176A6" w:rsidRPr="0099619E" w:rsidRDefault="006176A6" w:rsidP="006176A6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4B6C83" w:rsidRPr="004B6C83">
        <w:rPr>
          <w:rFonts w:ascii="Arial" w:hAnsi="Arial" w:cs="Arial"/>
          <w:b/>
          <w:bCs/>
          <w:sz w:val="24"/>
          <w:lang w:val="en-US"/>
        </w:rPr>
        <w:t>On the NR-unlicensed deployment scenarios</w:t>
      </w:r>
    </w:p>
    <w:p w:rsidR="006176A6" w:rsidRPr="00236D61" w:rsidRDefault="006176A6" w:rsidP="006176A6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236D61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236D61" w:rsidRPr="00236D61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 and Decision</w:t>
      </w:r>
    </w:p>
    <w:p w:rsidR="006176A6" w:rsidRPr="00416576" w:rsidRDefault="006176A6" w:rsidP="006176A6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>
        <w:rPr>
          <w:sz w:val="28"/>
        </w:rPr>
        <w:t xml:space="preserve">Introduction </w:t>
      </w:r>
    </w:p>
    <w:p w:rsidR="008C5F3F" w:rsidRDefault="00790BC0" w:rsidP="00B41872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 new </w:t>
      </w:r>
      <w:r w:rsidR="00187E79">
        <w:rPr>
          <w:sz w:val="20"/>
          <w:szCs w:val="20"/>
        </w:rPr>
        <w:t>study</w:t>
      </w:r>
      <w:r>
        <w:rPr>
          <w:sz w:val="20"/>
          <w:szCs w:val="20"/>
        </w:rPr>
        <w:t xml:space="preserve"> item on “NR-Based Access to Unlicensed Spectrum” was approved in TSG RAN Meeting #77 [1</w:t>
      </w:r>
      <w:r w:rsidR="008A7170">
        <w:rPr>
          <w:sz w:val="20"/>
          <w:szCs w:val="20"/>
        </w:rPr>
        <w:t>], in which the following architectural scenarios are listed:</w:t>
      </w:r>
      <w:r w:rsidR="008A7170" w:rsidDel="00B41872">
        <w:rPr>
          <w:sz w:val="20"/>
          <w:szCs w:val="20"/>
        </w:rPr>
        <w:t xml:space="preserve"> </w:t>
      </w:r>
    </w:p>
    <w:p w:rsidR="008C5F3F" w:rsidRPr="00B17C6C" w:rsidRDefault="008C5F3F" w:rsidP="00B17C6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left"/>
        <w:rPr>
          <w:bCs/>
          <w:lang w:val="en-US"/>
        </w:rPr>
      </w:pPr>
      <w:r w:rsidRPr="00B17C6C">
        <w:rPr>
          <w:bCs/>
          <w:lang w:val="en-US"/>
        </w:rPr>
        <w:t>An NR-based LAA cell(s) connects with an LTE or NR anchor cell operating in licensed spectrum</w:t>
      </w:r>
    </w:p>
    <w:p w:rsidR="008C5F3F" w:rsidRPr="00B17C6C" w:rsidRDefault="008C5F3F" w:rsidP="00B17C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jc w:val="left"/>
        <w:rPr>
          <w:bCs/>
          <w:lang w:val="en-US"/>
        </w:rPr>
      </w:pPr>
      <w:r w:rsidRPr="00B17C6C">
        <w:rPr>
          <w:bCs/>
          <w:lang w:val="en-US"/>
        </w:rPr>
        <w:t xml:space="preserve">The study assumes the techniques for linking between </w:t>
      </w:r>
      <w:proofErr w:type="spellStart"/>
      <w:r w:rsidRPr="00B17C6C">
        <w:rPr>
          <w:bCs/>
          <w:lang w:val="en-US"/>
        </w:rPr>
        <w:t>Pcell</w:t>
      </w:r>
      <w:proofErr w:type="spellEnd"/>
      <w:r w:rsidRPr="00B17C6C">
        <w:rPr>
          <w:bCs/>
          <w:lang w:val="en-US"/>
        </w:rPr>
        <w:t xml:space="preserve"> (LTE or NR licensed CC)</w:t>
      </w:r>
      <w:r w:rsidR="00B17C6C">
        <w:rPr>
          <w:bCs/>
          <w:lang w:val="en-US"/>
        </w:rPr>
        <w:t xml:space="preserve"> and </w:t>
      </w:r>
      <w:proofErr w:type="spellStart"/>
      <w:r w:rsidR="00B17C6C">
        <w:rPr>
          <w:bCs/>
          <w:lang w:val="en-US"/>
        </w:rPr>
        <w:t>Scell</w:t>
      </w:r>
      <w:proofErr w:type="spellEnd"/>
      <w:r w:rsidR="00B17C6C">
        <w:rPr>
          <w:bCs/>
          <w:lang w:val="en-US"/>
        </w:rPr>
        <w:t xml:space="preserve"> (NR </w:t>
      </w:r>
      <w:r w:rsidRPr="00B17C6C">
        <w:rPr>
          <w:bCs/>
          <w:lang w:val="en-US"/>
        </w:rPr>
        <w:t>unlicensed CCs) according to the NR WI</w:t>
      </w:r>
    </w:p>
    <w:p w:rsidR="008A7170" w:rsidRPr="00086922" w:rsidRDefault="008C5F3F" w:rsidP="002566E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left"/>
        <w:rPr>
          <w:szCs w:val="20"/>
        </w:rPr>
      </w:pPr>
      <w:r w:rsidRPr="00B17C6C">
        <w:rPr>
          <w:bCs/>
          <w:lang w:val="en-US"/>
        </w:rPr>
        <w:t xml:space="preserve">An NR-based cell operating standalone in unlicensed spectrum, connected to a 5G-CN network with priority on frequency bands above 6GHz, e.g., for private network deployments; </w:t>
      </w:r>
    </w:p>
    <w:p w:rsidR="008C5F3F" w:rsidRDefault="008C5F3F" w:rsidP="002566E8">
      <w:pPr>
        <w:pStyle w:val="LGTdoc"/>
        <w:spacing w:before="1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Based on the above</w:t>
      </w:r>
      <w:r w:rsidR="002566E8">
        <w:rPr>
          <w:sz w:val="20"/>
          <w:szCs w:val="20"/>
        </w:rPr>
        <w:t xml:space="preserve"> list</w:t>
      </w:r>
      <w:r>
        <w:rPr>
          <w:sz w:val="20"/>
          <w:szCs w:val="20"/>
        </w:rPr>
        <w:t>, the following deployment scenarios</w:t>
      </w:r>
      <w:r w:rsidR="008A7170">
        <w:rPr>
          <w:sz w:val="20"/>
          <w:szCs w:val="20"/>
        </w:rPr>
        <w:t xml:space="preserve"> can be considered:</w:t>
      </w:r>
    </w:p>
    <w:p w:rsidR="008C5F3F" w:rsidRPr="005C6302" w:rsidRDefault="008C5F3F" w:rsidP="002566E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rPr>
          <w:bCs/>
          <w:lang w:val="en-US"/>
        </w:rPr>
      </w:pPr>
      <w:r w:rsidRPr="008C5F3F">
        <w:rPr>
          <w:bCs/>
          <w:lang w:val="en-US"/>
        </w:rPr>
        <w:t>Carrier aggregation</w:t>
      </w:r>
      <w:r w:rsidR="00F43D22">
        <w:rPr>
          <w:bCs/>
          <w:lang w:val="en-US"/>
        </w:rPr>
        <w:t xml:space="preserve"> (CA)</w:t>
      </w:r>
      <w:r w:rsidRPr="008C5F3F">
        <w:rPr>
          <w:bCs/>
          <w:lang w:val="en-US"/>
        </w:rPr>
        <w:t xml:space="preserve"> between</w:t>
      </w:r>
      <w:r w:rsidR="00C162C8">
        <w:rPr>
          <w:bCs/>
          <w:lang w:val="en-US"/>
        </w:rPr>
        <w:t xml:space="preserve"> NR licensed cell (</w:t>
      </w:r>
      <w:proofErr w:type="spellStart"/>
      <w:r w:rsidR="00C162C8">
        <w:rPr>
          <w:bCs/>
          <w:lang w:val="en-US"/>
        </w:rPr>
        <w:t>PCell</w:t>
      </w:r>
      <w:proofErr w:type="spellEnd"/>
      <w:r w:rsidR="00C162C8">
        <w:rPr>
          <w:bCs/>
          <w:lang w:val="en-US"/>
        </w:rPr>
        <w:t xml:space="preserve">) and NR unlicensed cell </w:t>
      </w:r>
      <w:r w:rsidRPr="008C5F3F">
        <w:rPr>
          <w:bCs/>
          <w:lang w:val="en-US"/>
        </w:rPr>
        <w:t>(</w:t>
      </w:r>
      <w:proofErr w:type="spellStart"/>
      <w:r w:rsidRPr="008C5F3F">
        <w:rPr>
          <w:bCs/>
          <w:lang w:val="en-US"/>
        </w:rPr>
        <w:t>SCell</w:t>
      </w:r>
      <w:proofErr w:type="spellEnd"/>
      <w:r w:rsidRPr="008C5F3F">
        <w:rPr>
          <w:bCs/>
          <w:lang w:val="en-US"/>
        </w:rPr>
        <w:t>)</w:t>
      </w:r>
    </w:p>
    <w:p w:rsidR="008C5F3F" w:rsidRPr="008C5F3F" w:rsidRDefault="008C5F3F" w:rsidP="00B17C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rPr>
          <w:bCs/>
          <w:lang w:val="en-US"/>
        </w:rPr>
      </w:pPr>
      <w:r w:rsidRPr="008C5F3F">
        <w:rPr>
          <w:bCs/>
          <w:lang w:val="en-US"/>
        </w:rPr>
        <w:t>Dual connectivity</w:t>
      </w:r>
      <w:r w:rsidR="00F43D22">
        <w:rPr>
          <w:bCs/>
          <w:lang w:val="en-US"/>
        </w:rPr>
        <w:t xml:space="preserve"> (DC)</w:t>
      </w:r>
      <w:r w:rsidRPr="008C5F3F">
        <w:rPr>
          <w:bCs/>
          <w:lang w:val="en-US"/>
        </w:rPr>
        <w:t xml:space="preserve"> between </w:t>
      </w:r>
      <w:r w:rsidR="00C162C8">
        <w:rPr>
          <w:bCs/>
          <w:lang w:val="en-US"/>
        </w:rPr>
        <w:t xml:space="preserve">NR licensed cell </w:t>
      </w:r>
      <w:r w:rsidRPr="008C5F3F">
        <w:rPr>
          <w:bCs/>
          <w:lang w:val="en-US"/>
        </w:rPr>
        <w:t>(</w:t>
      </w:r>
      <w:proofErr w:type="spellStart"/>
      <w:r w:rsidRPr="008C5F3F">
        <w:rPr>
          <w:bCs/>
          <w:lang w:val="en-US"/>
        </w:rPr>
        <w:t>PCell</w:t>
      </w:r>
      <w:proofErr w:type="spellEnd"/>
      <w:r w:rsidRPr="008C5F3F">
        <w:rPr>
          <w:bCs/>
          <w:lang w:val="en-US"/>
        </w:rPr>
        <w:t>) and NR</w:t>
      </w:r>
      <w:r w:rsidR="00C162C8">
        <w:rPr>
          <w:bCs/>
          <w:lang w:val="en-US"/>
        </w:rPr>
        <w:t xml:space="preserve"> unlicensed cell</w:t>
      </w:r>
      <w:r w:rsidRPr="008C5F3F">
        <w:rPr>
          <w:bCs/>
          <w:lang w:val="en-US"/>
        </w:rPr>
        <w:t xml:space="preserve"> (</w:t>
      </w:r>
      <w:proofErr w:type="spellStart"/>
      <w:r w:rsidRPr="008C5F3F">
        <w:rPr>
          <w:bCs/>
          <w:lang w:val="en-US"/>
        </w:rPr>
        <w:t>PSCell</w:t>
      </w:r>
      <w:proofErr w:type="spellEnd"/>
      <w:r w:rsidRPr="008C5F3F">
        <w:rPr>
          <w:bCs/>
          <w:lang w:val="en-US"/>
        </w:rPr>
        <w:t>)</w:t>
      </w:r>
    </w:p>
    <w:p w:rsidR="008C5F3F" w:rsidRPr="008C5F3F" w:rsidRDefault="00F43D22" w:rsidP="00B17C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rPr>
          <w:bCs/>
          <w:lang w:val="en-US"/>
        </w:rPr>
      </w:pPr>
      <w:r>
        <w:rPr>
          <w:bCs/>
          <w:lang w:val="en-US"/>
        </w:rPr>
        <w:t>DC</w:t>
      </w:r>
      <w:r w:rsidR="008C5F3F" w:rsidRPr="008C5F3F">
        <w:rPr>
          <w:bCs/>
          <w:lang w:val="en-US"/>
        </w:rPr>
        <w:t xml:space="preserve"> between </w:t>
      </w:r>
      <w:r w:rsidR="00C162C8">
        <w:rPr>
          <w:bCs/>
          <w:lang w:val="en-US"/>
        </w:rPr>
        <w:t xml:space="preserve">LTE licensed cell </w:t>
      </w:r>
      <w:r w:rsidR="008C5F3F" w:rsidRPr="008C5F3F">
        <w:rPr>
          <w:bCs/>
          <w:lang w:val="en-US"/>
        </w:rPr>
        <w:t>(</w:t>
      </w:r>
      <w:proofErr w:type="spellStart"/>
      <w:r w:rsidR="008C5F3F" w:rsidRPr="008C5F3F">
        <w:rPr>
          <w:bCs/>
          <w:lang w:val="en-US"/>
        </w:rPr>
        <w:t>PCell</w:t>
      </w:r>
      <w:proofErr w:type="spellEnd"/>
      <w:r w:rsidR="008C5F3F" w:rsidRPr="008C5F3F">
        <w:rPr>
          <w:bCs/>
          <w:lang w:val="en-US"/>
        </w:rPr>
        <w:t>) and NR</w:t>
      </w:r>
      <w:r w:rsidR="00C162C8">
        <w:rPr>
          <w:bCs/>
          <w:lang w:val="en-US"/>
        </w:rPr>
        <w:t xml:space="preserve"> unlicensed cell</w:t>
      </w:r>
      <w:r w:rsidR="008C5F3F" w:rsidRPr="008C5F3F">
        <w:rPr>
          <w:bCs/>
          <w:lang w:val="en-US"/>
        </w:rPr>
        <w:t xml:space="preserve"> (</w:t>
      </w:r>
      <w:proofErr w:type="spellStart"/>
      <w:r w:rsidR="008C5F3F" w:rsidRPr="008C5F3F">
        <w:rPr>
          <w:bCs/>
          <w:lang w:val="en-US"/>
        </w:rPr>
        <w:t>PSCell</w:t>
      </w:r>
      <w:proofErr w:type="spellEnd"/>
      <w:r w:rsidR="008C5F3F" w:rsidRPr="008C5F3F">
        <w:rPr>
          <w:bCs/>
          <w:lang w:val="en-US"/>
        </w:rPr>
        <w:t>)</w:t>
      </w:r>
    </w:p>
    <w:p w:rsidR="008C5F3F" w:rsidRPr="008C5F3F" w:rsidRDefault="008C5F3F" w:rsidP="00B17C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left"/>
        <w:rPr>
          <w:bCs/>
          <w:lang w:val="en-US"/>
        </w:rPr>
      </w:pPr>
      <w:r w:rsidRPr="008C5F3F">
        <w:rPr>
          <w:bCs/>
          <w:lang w:val="en-US"/>
        </w:rPr>
        <w:t>Standalone NR-</w:t>
      </w:r>
      <w:r w:rsidR="00C162C8">
        <w:rPr>
          <w:bCs/>
          <w:lang w:val="en-US"/>
        </w:rPr>
        <w:t xml:space="preserve">unlicensed </w:t>
      </w:r>
    </w:p>
    <w:p w:rsidR="006176A6" w:rsidRDefault="006176A6" w:rsidP="006176A6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 this </w:t>
      </w:r>
      <w:r w:rsidR="009E3E02">
        <w:rPr>
          <w:sz w:val="20"/>
          <w:szCs w:val="20"/>
        </w:rPr>
        <w:t>contribution</w:t>
      </w:r>
      <w:r>
        <w:rPr>
          <w:sz w:val="20"/>
          <w:szCs w:val="20"/>
        </w:rPr>
        <w:t xml:space="preserve">, </w:t>
      </w:r>
      <w:r w:rsidR="009E3E02">
        <w:rPr>
          <w:sz w:val="20"/>
          <w:szCs w:val="20"/>
        </w:rPr>
        <w:t xml:space="preserve">we </w:t>
      </w:r>
      <w:r w:rsidR="00C162C8">
        <w:rPr>
          <w:sz w:val="20"/>
          <w:szCs w:val="20"/>
        </w:rPr>
        <w:t xml:space="preserve">describe </w:t>
      </w:r>
      <w:r w:rsidR="002566E8">
        <w:rPr>
          <w:sz w:val="20"/>
          <w:szCs w:val="20"/>
        </w:rPr>
        <w:t xml:space="preserve">in details </w:t>
      </w:r>
      <w:r w:rsidR="009E3E02">
        <w:rPr>
          <w:sz w:val="20"/>
          <w:szCs w:val="20"/>
        </w:rPr>
        <w:t>our views</w:t>
      </w:r>
      <w:r w:rsidR="00513751">
        <w:rPr>
          <w:sz w:val="20"/>
          <w:szCs w:val="20"/>
        </w:rPr>
        <w:t xml:space="preserve"> </w:t>
      </w:r>
      <w:r w:rsidR="002566E8">
        <w:rPr>
          <w:sz w:val="20"/>
          <w:szCs w:val="20"/>
        </w:rPr>
        <w:t>regarding</w:t>
      </w:r>
      <w:r w:rsidR="00513751">
        <w:rPr>
          <w:sz w:val="20"/>
          <w:szCs w:val="20"/>
        </w:rPr>
        <w:t xml:space="preserve"> the </w:t>
      </w:r>
      <w:r w:rsidR="002566E8">
        <w:rPr>
          <w:sz w:val="20"/>
          <w:szCs w:val="20"/>
        </w:rPr>
        <w:t>afore-listed</w:t>
      </w:r>
      <w:r w:rsidR="00513751">
        <w:rPr>
          <w:sz w:val="20"/>
          <w:szCs w:val="20"/>
        </w:rPr>
        <w:t xml:space="preserve"> deployment scenarios</w:t>
      </w:r>
      <w:r>
        <w:rPr>
          <w:sz w:val="20"/>
          <w:szCs w:val="20"/>
        </w:rPr>
        <w:t>, including the</w:t>
      </w:r>
      <w:r w:rsidR="002566E8">
        <w:rPr>
          <w:sz w:val="20"/>
          <w:szCs w:val="20"/>
        </w:rPr>
        <w:t>ir</w:t>
      </w:r>
      <w:r w:rsidR="00FC7B08">
        <w:rPr>
          <w:sz w:val="20"/>
          <w:szCs w:val="20"/>
        </w:rPr>
        <w:t xml:space="preserve"> potential use cases.</w:t>
      </w:r>
      <w:r w:rsidR="00513751">
        <w:rPr>
          <w:sz w:val="20"/>
          <w:szCs w:val="20"/>
        </w:rPr>
        <w:t xml:space="preserve"> </w:t>
      </w:r>
    </w:p>
    <w:p w:rsidR="006176A6" w:rsidRPr="009D545E" w:rsidRDefault="006176A6" w:rsidP="006176A6">
      <w:pPr>
        <w:pStyle w:val="Heading1"/>
        <w:keepNext w:val="0"/>
        <w:widowControl w:val="0"/>
        <w:spacing w:before="480" w:after="120"/>
        <w:ind w:left="518"/>
        <w:rPr>
          <w:sz w:val="18"/>
          <w:szCs w:val="20"/>
        </w:rPr>
      </w:pPr>
      <w:r>
        <w:rPr>
          <w:sz w:val="28"/>
        </w:rPr>
        <w:t>Deployment scenarios for NR-Unlicensed</w:t>
      </w:r>
    </w:p>
    <w:p w:rsidR="006176A6" w:rsidRPr="0007135F" w:rsidRDefault="00F43D22" w:rsidP="002566E8">
      <w:pPr>
        <w:pStyle w:val="Heading2"/>
        <w:spacing w:before="360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CA</w:t>
      </w:r>
      <w:r w:rsidR="006176A6" w:rsidRPr="005052A5">
        <w:rPr>
          <w:rFonts w:ascii="Arial" w:hAnsi="Arial"/>
          <w:szCs w:val="24"/>
        </w:rPr>
        <w:t xml:space="preserve"> </w:t>
      </w:r>
      <w:r w:rsidR="006176A6" w:rsidRPr="000739E0">
        <w:rPr>
          <w:rFonts w:ascii="Arial" w:hAnsi="Arial"/>
          <w:szCs w:val="24"/>
        </w:rPr>
        <w:t xml:space="preserve">between </w:t>
      </w:r>
      <w:r w:rsidR="00513751">
        <w:rPr>
          <w:rFonts w:ascii="Arial" w:hAnsi="Arial"/>
          <w:szCs w:val="24"/>
        </w:rPr>
        <w:t>NR licensed cell</w:t>
      </w:r>
      <w:r w:rsidR="006176A6" w:rsidRPr="000739E0">
        <w:rPr>
          <w:rFonts w:ascii="Arial" w:hAnsi="Arial"/>
          <w:szCs w:val="24"/>
        </w:rPr>
        <w:t xml:space="preserve"> (</w:t>
      </w:r>
      <w:proofErr w:type="spellStart"/>
      <w:r w:rsidR="006176A6" w:rsidRPr="000739E0">
        <w:rPr>
          <w:rFonts w:ascii="Arial" w:hAnsi="Arial"/>
          <w:szCs w:val="24"/>
        </w:rPr>
        <w:t>PCell</w:t>
      </w:r>
      <w:proofErr w:type="spellEnd"/>
      <w:r w:rsidR="006176A6" w:rsidRPr="000739E0">
        <w:rPr>
          <w:rFonts w:ascii="Arial" w:hAnsi="Arial"/>
          <w:szCs w:val="24"/>
        </w:rPr>
        <w:t>) and NR</w:t>
      </w:r>
      <w:r w:rsidR="00513751">
        <w:rPr>
          <w:rFonts w:ascii="Arial" w:hAnsi="Arial"/>
          <w:szCs w:val="24"/>
        </w:rPr>
        <w:t xml:space="preserve"> unlicensed cell</w:t>
      </w:r>
      <w:r w:rsidR="006176A6" w:rsidRPr="000739E0">
        <w:rPr>
          <w:rFonts w:ascii="Arial" w:hAnsi="Arial"/>
          <w:szCs w:val="24"/>
        </w:rPr>
        <w:t xml:space="preserve"> (</w:t>
      </w:r>
      <w:proofErr w:type="spellStart"/>
      <w:r w:rsidR="006176A6" w:rsidRPr="000739E0">
        <w:rPr>
          <w:rFonts w:ascii="Arial" w:hAnsi="Arial"/>
          <w:szCs w:val="24"/>
        </w:rPr>
        <w:t>SCell</w:t>
      </w:r>
      <w:proofErr w:type="spellEnd"/>
      <w:r w:rsidR="006176A6" w:rsidRPr="000739E0">
        <w:rPr>
          <w:rFonts w:ascii="Arial" w:hAnsi="Arial"/>
          <w:szCs w:val="24"/>
        </w:rPr>
        <w:t>)</w:t>
      </w:r>
    </w:p>
    <w:p w:rsidR="00061BC2" w:rsidRDefault="0028518C" w:rsidP="00061BC2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The deployment scenario that employs CA between </w:t>
      </w:r>
      <w:r w:rsidRPr="00061BC2">
        <w:rPr>
          <w:szCs w:val="20"/>
          <w:lang w:eastAsia="ko-KR"/>
        </w:rPr>
        <w:t>NR licensed cell (</w:t>
      </w:r>
      <w:proofErr w:type="spellStart"/>
      <w:r w:rsidRPr="00061BC2">
        <w:rPr>
          <w:szCs w:val="20"/>
          <w:lang w:eastAsia="ko-KR"/>
        </w:rPr>
        <w:t>PCell</w:t>
      </w:r>
      <w:proofErr w:type="spellEnd"/>
      <w:r w:rsidRPr="00061BC2">
        <w:rPr>
          <w:szCs w:val="20"/>
          <w:lang w:eastAsia="ko-KR"/>
        </w:rPr>
        <w:t>) and NR unlicensed cell (</w:t>
      </w:r>
      <w:proofErr w:type="spellStart"/>
      <w:r w:rsidRPr="00061BC2">
        <w:rPr>
          <w:szCs w:val="20"/>
          <w:lang w:eastAsia="ko-KR"/>
        </w:rPr>
        <w:t>SCell</w:t>
      </w:r>
      <w:proofErr w:type="spellEnd"/>
      <w:r w:rsidRPr="00061BC2">
        <w:rPr>
          <w:szCs w:val="20"/>
          <w:lang w:eastAsia="ko-KR"/>
        </w:rPr>
        <w:t>)</w:t>
      </w:r>
      <w:r w:rsidR="00371D30">
        <w:rPr>
          <w:szCs w:val="20"/>
          <w:lang w:eastAsia="ko-KR"/>
        </w:rPr>
        <w:t xml:space="preserve"> is</w:t>
      </w:r>
      <w:r w:rsidR="00FC7B08">
        <w:rPr>
          <w:szCs w:val="20"/>
          <w:lang w:eastAsia="ko-KR"/>
        </w:rPr>
        <w:t xml:space="preserve"> the</w:t>
      </w:r>
      <w:r w:rsidR="00371D30">
        <w:rPr>
          <w:szCs w:val="20"/>
          <w:lang w:eastAsia="ko-KR"/>
        </w:rPr>
        <w:t xml:space="preserve"> </w:t>
      </w:r>
      <w:r w:rsidR="00513751">
        <w:rPr>
          <w:szCs w:val="20"/>
          <w:lang w:eastAsia="ko-KR"/>
        </w:rPr>
        <w:t xml:space="preserve">first and foremost deployment option that can be considered </w:t>
      </w:r>
      <w:r w:rsidR="00371D30">
        <w:rPr>
          <w:szCs w:val="20"/>
          <w:lang w:eastAsia="ko-KR"/>
        </w:rPr>
        <w:t>to improve network capacity</w:t>
      </w:r>
      <w:r w:rsidR="00513751">
        <w:rPr>
          <w:szCs w:val="20"/>
          <w:lang w:eastAsia="ko-KR"/>
        </w:rPr>
        <w:t xml:space="preserve"> by exploiting unlicensed spectrum</w:t>
      </w:r>
      <w:r w:rsidR="00371D30">
        <w:rPr>
          <w:szCs w:val="20"/>
          <w:lang w:eastAsia="ko-KR"/>
        </w:rPr>
        <w:t xml:space="preserve"> </w:t>
      </w:r>
      <w:r w:rsidR="00675E6A">
        <w:rPr>
          <w:szCs w:val="20"/>
          <w:lang w:eastAsia="ko-KR"/>
        </w:rPr>
        <w:t xml:space="preserve">with </w:t>
      </w:r>
      <w:r w:rsidR="00371D30">
        <w:rPr>
          <w:szCs w:val="20"/>
          <w:lang w:eastAsia="ko-KR"/>
        </w:rPr>
        <w:t xml:space="preserve">ideal backhaul </w:t>
      </w:r>
      <w:r w:rsidR="00675E6A">
        <w:rPr>
          <w:szCs w:val="20"/>
          <w:lang w:eastAsia="ko-KR"/>
        </w:rPr>
        <w:t xml:space="preserve">between the </w:t>
      </w:r>
      <w:proofErr w:type="spellStart"/>
      <w:r w:rsidR="00675E6A">
        <w:rPr>
          <w:szCs w:val="20"/>
          <w:lang w:eastAsia="ko-KR"/>
        </w:rPr>
        <w:t>PCell</w:t>
      </w:r>
      <w:proofErr w:type="spellEnd"/>
      <w:r w:rsidR="00675E6A">
        <w:rPr>
          <w:szCs w:val="20"/>
          <w:lang w:eastAsia="ko-KR"/>
        </w:rPr>
        <w:t xml:space="preserve"> and </w:t>
      </w:r>
      <w:proofErr w:type="spellStart"/>
      <w:r w:rsidR="00675E6A">
        <w:rPr>
          <w:szCs w:val="20"/>
          <w:lang w:eastAsia="ko-KR"/>
        </w:rPr>
        <w:t>SCell</w:t>
      </w:r>
      <w:proofErr w:type="spellEnd"/>
      <w:r w:rsidR="00675E6A">
        <w:rPr>
          <w:szCs w:val="20"/>
          <w:lang w:eastAsia="ko-KR"/>
        </w:rPr>
        <w:t>(s)</w:t>
      </w:r>
      <w:r w:rsidR="002C31E6">
        <w:rPr>
          <w:szCs w:val="20"/>
          <w:lang w:eastAsia="ko-KR"/>
        </w:rPr>
        <w:t xml:space="preserve">. </w:t>
      </w:r>
      <w:r w:rsidR="00675E6A">
        <w:rPr>
          <w:szCs w:val="20"/>
          <w:lang w:eastAsia="ko-KR"/>
        </w:rPr>
        <w:t xml:space="preserve">The design of necessary mechanisms to support this deployment option can be largely </w:t>
      </w:r>
      <w:r w:rsidR="00740D4C">
        <w:rPr>
          <w:szCs w:val="20"/>
          <w:lang w:eastAsia="ko-KR"/>
        </w:rPr>
        <w:t>based on the previous</w:t>
      </w:r>
      <w:r w:rsidR="00F43D22">
        <w:rPr>
          <w:szCs w:val="20"/>
          <w:lang w:eastAsia="ko-KR"/>
        </w:rPr>
        <w:t xml:space="preserve"> experiences on</w:t>
      </w:r>
      <w:r w:rsidR="00740D4C">
        <w:rPr>
          <w:szCs w:val="20"/>
          <w:lang w:eastAsia="ko-KR"/>
        </w:rPr>
        <w:t xml:space="preserve"> LTE </w:t>
      </w:r>
      <w:r w:rsidR="008A3192">
        <w:rPr>
          <w:szCs w:val="20"/>
          <w:lang w:eastAsia="ko-KR"/>
        </w:rPr>
        <w:t>Licensed Assisted Access (LAA)</w:t>
      </w:r>
      <w:r w:rsidR="00740D4C">
        <w:rPr>
          <w:szCs w:val="20"/>
          <w:lang w:eastAsia="ko-KR"/>
        </w:rPr>
        <w:t xml:space="preserve"> development.</w:t>
      </w:r>
      <w:r w:rsidR="00FC42D9">
        <w:rPr>
          <w:szCs w:val="20"/>
          <w:lang w:eastAsia="ko-KR"/>
        </w:rPr>
        <w:t xml:space="preserve"> The </w:t>
      </w:r>
      <w:r w:rsidR="001D3110">
        <w:rPr>
          <w:szCs w:val="20"/>
          <w:lang w:eastAsia="ko-KR"/>
        </w:rPr>
        <w:t xml:space="preserve">CA </w:t>
      </w:r>
      <w:r w:rsidR="00FC42D9">
        <w:rPr>
          <w:szCs w:val="20"/>
          <w:lang w:eastAsia="ko-KR"/>
        </w:rPr>
        <w:t>with licensed cell</w:t>
      </w:r>
      <w:r w:rsidR="001D3110">
        <w:rPr>
          <w:szCs w:val="20"/>
          <w:lang w:eastAsia="ko-KR"/>
        </w:rPr>
        <w:t>(s)</w:t>
      </w:r>
      <w:r w:rsidR="00FC42D9">
        <w:rPr>
          <w:szCs w:val="20"/>
          <w:lang w:eastAsia="ko-KR"/>
        </w:rPr>
        <w:t xml:space="preserve"> provides advantages from the aspects of </w:t>
      </w:r>
      <w:r w:rsidR="00D971E0">
        <w:rPr>
          <w:szCs w:val="20"/>
          <w:lang w:eastAsia="ko-KR"/>
        </w:rPr>
        <w:t xml:space="preserve">supporting services requiring high reliability and </w:t>
      </w:r>
      <w:proofErr w:type="spellStart"/>
      <w:r w:rsidR="00D971E0">
        <w:rPr>
          <w:szCs w:val="20"/>
          <w:lang w:eastAsia="ko-KR"/>
        </w:rPr>
        <w:t>QoS</w:t>
      </w:r>
      <w:proofErr w:type="spellEnd"/>
      <w:r w:rsidR="00D971E0">
        <w:rPr>
          <w:szCs w:val="20"/>
          <w:lang w:eastAsia="ko-KR"/>
        </w:rPr>
        <w:t xml:space="preserve">. Furthermore, </w:t>
      </w:r>
      <w:r w:rsidR="006E3606">
        <w:rPr>
          <w:szCs w:val="20"/>
          <w:lang w:eastAsia="ko-KR"/>
        </w:rPr>
        <w:t>the</w:t>
      </w:r>
      <w:r w:rsidR="00D971E0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 xml:space="preserve">assistance </w:t>
      </w:r>
      <w:r w:rsidR="00D971E0">
        <w:rPr>
          <w:szCs w:val="20"/>
          <w:lang w:eastAsia="ko-KR"/>
        </w:rPr>
        <w:t>from the licensed cell</w:t>
      </w:r>
      <w:r w:rsidR="006E3606">
        <w:rPr>
          <w:szCs w:val="20"/>
          <w:lang w:eastAsia="ko-KR"/>
        </w:rPr>
        <w:t xml:space="preserve">, e.g., initial access, </w:t>
      </w:r>
      <w:r w:rsidR="009A62BD">
        <w:rPr>
          <w:szCs w:val="20"/>
          <w:lang w:eastAsia="ko-KR"/>
        </w:rPr>
        <w:t>synchronization, control channel</w:t>
      </w:r>
      <w:r w:rsidR="001D3110">
        <w:rPr>
          <w:szCs w:val="20"/>
          <w:lang w:eastAsia="ko-KR"/>
        </w:rPr>
        <w:t>s</w:t>
      </w:r>
      <w:r w:rsidR="009A62BD">
        <w:rPr>
          <w:szCs w:val="20"/>
          <w:lang w:eastAsia="ko-KR"/>
        </w:rPr>
        <w:t xml:space="preserve"> etc.,</w:t>
      </w:r>
      <w:r w:rsidR="00D971E0">
        <w:rPr>
          <w:szCs w:val="20"/>
          <w:lang w:eastAsia="ko-KR"/>
        </w:rPr>
        <w:t xml:space="preserve"> </w:t>
      </w:r>
      <w:r w:rsidR="00F43D22">
        <w:rPr>
          <w:szCs w:val="20"/>
          <w:lang w:eastAsia="ko-KR"/>
        </w:rPr>
        <w:t>facilitate</w:t>
      </w:r>
      <w:r w:rsidR="009A62BD">
        <w:rPr>
          <w:szCs w:val="20"/>
          <w:lang w:eastAsia="ko-KR"/>
        </w:rPr>
        <w:t xml:space="preserve"> th</w:t>
      </w:r>
      <w:r w:rsidR="00F43D22">
        <w:rPr>
          <w:szCs w:val="20"/>
          <w:lang w:eastAsia="ko-KR"/>
        </w:rPr>
        <w:t>e design. Therefore, this scenario can be conside</w:t>
      </w:r>
      <w:r w:rsidR="00D3466E">
        <w:rPr>
          <w:szCs w:val="20"/>
          <w:lang w:eastAsia="ko-KR"/>
        </w:rPr>
        <w:t xml:space="preserve">red as the first step </w:t>
      </w:r>
      <w:r>
        <w:rPr>
          <w:szCs w:val="20"/>
          <w:lang w:eastAsia="ko-KR"/>
        </w:rPr>
        <w:t xml:space="preserve">toward </w:t>
      </w:r>
      <w:r w:rsidR="00D3466E">
        <w:rPr>
          <w:szCs w:val="20"/>
          <w:lang w:eastAsia="ko-KR"/>
        </w:rPr>
        <w:t>developing the NR-unlicensed system.</w:t>
      </w:r>
      <w:r w:rsidR="00371D30">
        <w:rPr>
          <w:szCs w:val="20"/>
          <w:lang w:eastAsia="ko-KR"/>
        </w:rPr>
        <w:t xml:space="preserve"> </w:t>
      </w:r>
    </w:p>
    <w:p w:rsidR="00061BC2" w:rsidRPr="00061BC2" w:rsidRDefault="00D825FB" w:rsidP="00061BC2">
      <w:pPr>
        <w:spacing w:after="0"/>
        <w:rPr>
          <w:b/>
          <w:szCs w:val="20"/>
          <w:lang w:eastAsia="ko-KR"/>
        </w:rPr>
      </w:pPr>
      <w:r>
        <w:rPr>
          <w:b/>
          <w:szCs w:val="20"/>
          <w:lang w:eastAsia="ko-KR"/>
        </w:rPr>
        <w:t>Proposal</w:t>
      </w:r>
      <w:r w:rsidR="00447945">
        <w:rPr>
          <w:b/>
          <w:szCs w:val="20"/>
          <w:lang w:eastAsia="ko-KR"/>
        </w:rPr>
        <w:t xml:space="preserve"> 1</w:t>
      </w:r>
      <w:r>
        <w:rPr>
          <w:b/>
          <w:szCs w:val="20"/>
          <w:lang w:eastAsia="ko-KR"/>
        </w:rPr>
        <w:t xml:space="preserve">: </w:t>
      </w:r>
      <w:r w:rsidR="00D3466E">
        <w:rPr>
          <w:b/>
          <w:szCs w:val="20"/>
          <w:lang w:eastAsia="ko-KR"/>
        </w:rPr>
        <w:t xml:space="preserve">The carrier aggregation between </w:t>
      </w:r>
      <w:r w:rsidR="00D3466E" w:rsidRPr="00D3466E">
        <w:rPr>
          <w:b/>
          <w:szCs w:val="20"/>
          <w:lang w:eastAsia="ko-KR"/>
        </w:rPr>
        <w:t>NR licensed cell (</w:t>
      </w:r>
      <w:proofErr w:type="spellStart"/>
      <w:r w:rsidR="00D3466E" w:rsidRPr="00D3466E">
        <w:rPr>
          <w:b/>
          <w:szCs w:val="20"/>
          <w:lang w:eastAsia="ko-KR"/>
        </w:rPr>
        <w:t>PCell</w:t>
      </w:r>
      <w:proofErr w:type="spellEnd"/>
      <w:r w:rsidR="00D3466E" w:rsidRPr="00D3466E">
        <w:rPr>
          <w:b/>
          <w:szCs w:val="20"/>
          <w:lang w:eastAsia="ko-KR"/>
        </w:rPr>
        <w:t>) and NR unlicensed cell (</w:t>
      </w:r>
      <w:proofErr w:type="spellStart"/>
      <w:r w:rsidR="00D3466E" w:rsidRPr="00D3466E">
        <w:rPr>
          <w:b/>
          <w:szCs w:val="20"/>
          <w:lang w:eastAsia="ko-KR"/>
        </w:rPr>
        <w:t>SCell</w:t>
      </w:r>
      <w:proofErr w:type="spellEnd"/>
      <w:r w:rsidR="00D3466E" w:rsidRPr="00D3466E">
        <w:rPr>
          <w:b/>
          <w:szCs w:val="20"/>
          <w:lang w:eastAsia="ko-KR"/>
        </w:rPr>
        <w:t>)</w:t>
      </w:r>
      <w:r w:rsidR="00D3466E">
        <w:rPr>
          <w:b/>
          <w:szCs w:val="20"/>
          <w:lang w:eastAsia="ko-KR"/>
        </w:rPr>
        <w:t xml:space="preserve"> is studied within the scope of</w:t>
      </w:r>
      <w:r w:rsidR="001D3110">
        <w:rPr>
          <w:b/>
          <w:szCs w:val="20"/>
          <w:lang w:eastAsia="ko-KR"/>
        </w:rPr>
        <w:t xml:space="preserve"> </w:t>
      </w:r>
      <w:r w:rsidR="007F4138">
        <w:rPr>
          <w:b/>
          <w:szCs w:val="20"/>
          <w:lang w:eastAsia="ko-KR"/>
        </w:rPr>
        <w:t xml:space="preserve">this </w:t>
      </w:r>
      <w:r w:rsidR="00D3466E">
        <w:rPr>
          <w:b/>
          <w:szCs w:val="20"/>
          <w:lang w:eastAsia="ko-KR"/>
        </w:rPr>
        <w:t xml:space="preserve">study item. </w:t>
      </w:r>
    </w:p>
    <w:p w:rsidR="001E6414" w:rsidRDefault="00172E15" w:rsidP="006176A6">
      <w:pPr>
        <w:spacing w:before="120" w:after="0"/>
        <w:rPr>
          <w:rFonts w:ascii="Times New Roman" w:eastAsia="Malgun Gothic" w:hAnsi="Times New Roman"/>
          <w:b/>
          <w:color w:val="0070C0"/>
          <w:szCs w:val="20"/>
          <w:lang w:val="en-US" w:eastAsia="zh-CN"/>
        </w:rPr>
      </w:pPr>
      <w:r>
        <w:rPr>
          <w:szCs w:val="20"/>
          <w:lang w:eastAsia="ko-KR"/>
        </w:rPr>
        <w:t xml:space="preserve">In the LTE LAA design, PUCCH and PRACH are not supported on </w:t>
      </w:r>
      <w:r w:rsidR="007F4138">
        <w:rPr>
          <w:szCs w:val="20"/>
          <w:lang w:eastAsia="ko-KR"/>
        </w:rPr>
        <w:t xml:space="preserve">the </w:t>
      </w:r>
      <w:r w:rsidR="00B10FEF">
        <w:rPr>
          <w:szCs w:val="20"/>
          <w:lang w:eastAsia="ko-KR"/>
        </w:rPr>
        <w:t xml:space="preserve">unlicensed cell, although there is no doubt </w:t>
      </w:r>
      <w:r w:rsidR="00BC6653">
        <w:rPr>
          <w:szCs w:val="20"/>
          <w:lang w:eastAsia="ko-KR"/>
        </w:rPr>
        <w:t xml:space="preserve">that </w:t>
      </w:r>
      <w:r w:rsidR="001A4D3D">
        <w:rPr>
          <w:szCs w:val="20"/>
          <w:lang w:eastAsia="ko-KR"/>
        </w:rPr>
        <w:t>they will be beneficial</w:t>
      </w:r>
      <w:r w:rsidR="00BC6653">
        <w:rPr>
          <w:szCs w:val="20"/>
          <w:lang w:eastAsia="ko-KR"/>
        </w:rPr>
        <w:t>,</w:t>
      </w:r>
      <w:r w:rsidR="001A4D3D">
        <w:rPr>
          <w:szCs w:val="20"/>
          <w:lang w:eastAsia="ko-KR"/>
        </w:rPr>
        <w:t xml:space="preserve"> if supported.</w:t>
      </w:r>
      <w:r w:rsidR="001C0F05">
        <w:rPr>
          <w:szCs w:val="20"/>
          <w:lang w:eastAsia="ko-KR"/>
        </w:rPr>
        <w:t xml:space="preserve"> </w:t>
      </w:r>
      <w:r w:rsidR="000238CB">
        <w:rPr>
          <w:szCs w:val="20"/>
          <w:lang w:eastAsia="ko-KR"/>
        </w:rPr>
        <w:t>For NR</w:t>
      </w:r>
      <w:r w:rsidR="007F4138">
        <w:rPr>
          <w:szCs w:val="20"/>
          <w:lang w:eastAsia="ko-KR"/>
        </w:rPr>
        <w:t xml:space="preserve"> operating on </w:t>
      </w:r>
      <w:r w:rsidR="000238CB">
        <w:rPr>
          <w:szCs w:val="20"/>
          <w:lang w:eastAsia="ko-KR"/>
        </w:rPr>
        <w:t>unlicensed</w:t>
      </w:r>
      <w:r w:rsidR="007F4138">
        <w:rPr>
          <w:szCs w:val="20"/>
          <w:lang w:eastAsia="ko-KR"/>
        </w:rPr>
        <w:t xml:space="preserve"> spectrum</w:t>
      </w:r>
      <w:r w:rsidR="000238CB">
        <w:rPr>
          <w:szCs w:val="20"/>
          <w:lang w:eastAsia="ko-KR"/>
        </w:rPr>
        <w:t xml:space="preserve">, it can be considered to support PUCCH and PRACH on </w:t>
      </w:r>
      <w:r w:rsidR="007F4138">
        <w:rPr>
          <w:szCs w:val="20"/>
          <w:lang w:eastAsia="ko-KR"/>
        </w:rPr>
        <w:t xml:space="preserve">the </w:t>
      </w:r>
      <w:r w:rsidR="000238CB">
        <w:rPr>
          <w:szCs w:val="20"/>
          <w:lang w:eastAsia="ko-KR"/>
        </w:rPr>
        <w:t>unlicensed cell</w:t>
      </w:r>
      <w:r w:rsidR="001D3110">
        <w:rPr>
          <w:szCs w:val="20"/>
          <w:lang w:eastAsia="ko-KR"/>
        </w:rPr>
        <w:t xml:space="preserve"> even for </w:t>
      </w:r>
      <w:r w:rsidR="007F4138">
        <w:rPr>
          <w:szCs w:val="20"/>
          <w:lang w:eastAsia="ko-KR"/>
        </w:rPr>
        <w:t xml:space="preserve">the </w:t>
      </w:r>
      <w:r w:rsidR="001D3110">
        <w:rPr>
          <w:szCs w:val="20"/>
          <w:lang w:eastAsia="ko-KR"/>
        </w:rPr>
        <w:t>CA scenario</w:t>
      </w:r>
      <w:r w:rsidR="000238CB">
        <w:rPr>
          <w:szCs w:val="20"/>
          <w:lang w:eastAsia="ko-KR"/>
        </w:rPr>
        <w:t xml:space="preserve">. </w:t>
      </w:r>
      <w:r w:rsidR="007F4138">
        <w:rPr>
          <w:szCs w:val="20"/>
          <w:lang w:eastAsia="ko-KR"/>
        </w:rPr>
        <w:t>For instance, b</w:t>
      </w:r>
      <w:r w:rsidR="00B43E60">
        <w:rPr>
          <w:szCs w:val="20"/>
          <w:lang w:eastAsia="ko-KR"/>
        </w:rPr>
        <w:t xml:space="preserve">y supporting PUCCH on </w:t>
      </w:r>
      <w:r w:rsidR="007F4138">
        <w:rPr>
          <w:szCs w:val="20"/>
          <w:lang w:eastAsia="ko-KR"/>
        </w:rPr>
        <w:t xml:space="preserve">the </w:t>
      </w:r>
      <w:r w:rsidR="00B43E60">
        <w:rPr>
          <w:szCs w:val="20"/>
          <w:lang w:eastAsia="ko-KR"/>
        </w:rPr>
        <w:t>unlicensed cell,</w:t>
      </w:r>
      <w:r w:rsidR="00BC6653">
        <w:rPr>
          <w:szCs w:val="20"/>
          <w:lang w:eastAsia="ko-KR"/>
        </w:rPr>
        <w:t xml:space="preserve"> </w:t>
      </w:r>
      <w:r w:rsidR="00B43E60">
        <w:rPr>
          <w:szCs w:val="20"/>
          <w:lang w:eastAsia="ko-KR"/>
        </w:rPr>
        <w:t>the unlice</w:t>
      </w:r>
      <w:r w:rsidR="00BC6653">
        <w:rPr>
          <w:szCs w:val="20"/>
          <w:lang w:eastAsia="ko-KR"/>
        </w:rPr>
        <w:t xml:space="preserve">nsed </w:t>
      </w:r>
      <w:proofErr w:type="spellStart"/>
      <w:r w:rsidR="00BC6653">
        <w:rPr>
          <w:szCs w:val="20"/>
          <w:lang w:eastAsia="ko-KR"/>
        </w:rPr>
        <w:t>SCells</w:t>
      </w:r>
      <w:proofErr w:type="spellEnd"/>
      <w:r w:rsidR="00BC6653">
        <w:rPr>
          <w:szCs w:val="20"/>
          <w:lang w:eastAsia="ko-KR"/>
        </w:rPr>
        <w:t xml:space="preserve"> can form a separate PUCCH group, which may make </w:t>
      </w:r>
      <w:r w:rsidR="00270E7D">
        <w:rPr>
          <w:szCs w:val="20"/>
          <w:lang w:eastAsia="ko-KR"/>
        </w:rPr>
        <w:t>the design</w:t>
      </w:r>
      <w:r w:rsidR="00BC6653">
        <w:rPr>
          <w:szCs w:val="20"/>
          <w:lang w:eastAsia="ko-KR"/>
        </w:rPr>
        <w:t xml:space="preserve"> eas</w:t>
      </w:r>
      <w:r w:rsidR="008B0DB8">
        <w:rPr>
          <w:szCs w:val="20"/>
          <w:lang w:eastAsia="ko-KR"/>
        </w:rPr>
        <w:t>ier</w:t>
      </w:r>
      <w:r w:rsidR="00BC6653">
        <w:rPr>
          <w:szCs w:val="20"/>
          <w:lang w:eastAsia="ko-KR"/>
        </w:rPr>
        <w:t xml:space="preserve"> when the licensed cells and unlicensed cells use different numerologies. </w:t>
      </w:r>
      <w:r w:rsidR="008B0DB8">
        <w:rPr>
          <w:szCs w:val="20"/>
          <w:lang w:eastAsia="ko-KR"/>
        </w:rPr>
        <w:t xml:space="preserve">At the end, the support of PUCCH and PRACH on </w:t>
      </w:r>
      <w:r w:rsidR="007F4138">
        <w:rPr>
          <w:szCs w:val="20"/>
          <w:lang w:eastAsia="ko-KR"/>
        </w:rPr>
        <w:t xml:space="preserve">the </w:t>
      </w:r>
      <w:r w:rsidR="008B0DB8">
        <w:rPr>
          <w:szCs w:val="20"/>
          <w:lang w:eastAsia="ko-KR"/>
        </w:rPr>
        <w:t xml:space="preserve">unlicensed cell </w:t>
      </w:r>
      <w:r w:rsidR="00270E7D">
        <w:rPr>
          <w:szCs w:val="20"/>
          <w:lang w:eastAsia="ko-KR"/>
        </w:rPr>
        <w:t>will be</w:t>
      </w:r>
      <w:r w:rsidR="008B0DB8">
        <w:rPr>
          <w:szCs w:val="20"/>
          <w:lang w:eastAsia="ko-KR"/>
        </w:rPr>
        <w:t xml:space="preserve"> needed to </w:t>
      </w:r>
      <w:r w:rsidR="00441A71">
        <w:rPr>
          <w:szCs w:val="20"/>
          <w:lang w:eastAsia="ko-KR"/>
        </w:rPr>
        <w:t xml:space="preserve">enable other deployment options, </w:t>
      </w:r>
      <w:r w:rsidR="00270E7D">
        <w:rPr>
          <w:szCs w:val="20"/>
          <w:lang w:eastAsia="ko-KR"/>
        </w:rPr>
        <w:t>i.e</w:t>
      </w:r>
      <w:r w:rsidR="00441A71">
        <w:rPr>
          <w:szCs w:val="20"/>
          <w:lang w:eastAsia="ko-KR"/>
        </w:rPr>
        <w:t xml:space="preserve">., DC and standalone. </w:t>
      </w:r>
    </w:p>
    <w:p w:rsidR="006176A6" w:rsidRPr="006B5019" w:rsidRDefault="00FC4E38" w:rsidP="002566E8">
      <w:pPr>
        <w:pStyle w:val="Heading2"/>
        <w:spacing w:before="360"/>
        <w:rPr>
          <w:rFonts w:ascii="Arial" w:hAnsi="Arial"/>
          <w:szCs w:val="24"/>
          <w:lang w:eastAsia="ko-KR"/>
        </w:rPr>
      </w:pPr>
      <w:r>
        <w:rPr>
          <w:rFonts w:ascii="Arial" w:hAnsi="Arial"/>
          <w:szCs w:val="24"/>
          <w:lang w:eastAsia="ko-KR"/>
        </w:rPr>
        <w:lastRenderedPageBreak/>
        <w:t>DC</w:t>
      </w:r>
      <w:r w:rsidR="006176A6" w:rsidRPr="006B5019">
        <w:rPr>
          <w:rFonts w:ascii="Arial" w:hAnsi="Arial"/>
          <w:szCs w:val="24"/>
          <w:lang w:eastAsia="ko-KR"/>
        </w:rPr>
        <w:t xml:space="preserve"> between NR</w:t>
      </w:r>
      <w:r>
        <w:rPr>
          <w:rFonts w:ascii="Arial" w:hAnsi="Arial"/>
          <w:szCs w:val="24"/>
          <w:lang w:eastAsia="ko-KR"/>
        </w:rPr>
        <w:t xml:space="preserve"> licensed cell</w:t>
      </w:r>
      <w:r w:rsidR="006176A6" w:rsidRPr="006B5019">
        <w:rPr>
          <w:rFonts w:ascii="Arial" w:hAnsi="Arial"/>
          <w:szCs w:val="24"/>
          <w:lang w:eastAsia="ko-KR"/>
        </w:rPr>
        <w:t xml:space="preserve"> (</w:t>
      </w:r>
      <w:proofErr w:type="spellStart"/>
      <w:r w:rsidR="006176A6" w:rsidRPr="006B5019">
        <w:rPr>
          <w:rFonts w:ascii="Arial" w:hAnsi="Arial"/>
          <w:szCs w:val="24"/>
          <w:lang w:eastAsia="ko-KR"/>
        </w:rPr>
        <w:t>PCell</w:t>
      </w:r>
      <w:proofErr w:type="spellEnd"/>
      <w:r w:rsidR="006176A6" w:rsidRPr="006B5019">
        <w:rPr>
          <w:rFonts w:ascii="Arial" w:hAnsi="Arial"/>
          <w:szCs w:val="24"/>
          <w:lang w:eastAsia="ko-KR"/>
        </w:rPr>
        <w:t>) and NR</w:t>
      </w:r>
      <w:r>
        <w:rPr>
          <w:rFonts w:ascii="Arial" w:hAnsi="Arial"/>
          <w:szCs w:val="24"/>
          <w:lang w:eastAsia="ko-KR"/>
        </w:rPr>
        <w:t xml:space="preserve"> unlicensed cell</w:t>
      </w:r>
      <w:r w:rsidR="006176A6" w:rsidRPr="006B5019">
        <w:rPr>
          <w:rFonts w:ascii="Arial" w:hAnsi="Arial"/>
          <w:szCs w:val="24"/>
          <w:lang w:eastAsia="ko-KR"/>
        </w:rPr>
        <w:t xml:space="preserve"> (</w:t>
      </w:r>
      <w:proofErr w:type="spellStart"/>
      <w:r w:rsidR="006176A6" w:rsidRPr="006B5019">
        <w:rPr>
          <w:rFonts w:ascii="Arial" w:hAnsi="Arial"/>
          <w:szCs w:val="24"/>
          <w:lang w:eastAsia="ko-KR"/>
        </w:rPr>
        <w:t>PSCell</w:t>
      </w:r>
      <w:proofErr w:type="spellEnd"/>
      <w:r w:rsidR="006176A6" w:rsidRPr="006B5019">
        <w:rPr>
          <w:rFonts w:ascii="Arial" w:hAnsi="Arial"/>
          <w:szCs w:val="24"/>
          <w:lang w:eastAsia="ko-KR"/>
        </w:rPr>
        <w:t>)</w:t>
      </w:r>
    </w:p>
    <w:p w:rsidR="00F60E3C" w:rsidRDefault="00046E10" w:rsidP="00F851EE">
      <w:pPr>
        <w:spacing w:before="120" w:after="0"/>
        <w:rPr>
          <w:szCs w:val="20"/>
          <w:lang w:eastAsia="ko-KR"/>
        </w:rPr>
      </w:pPr>
      <w:r>
        <w:rPr>
          <w:szCs w:val="20"/>
          <w:lang w:eastAsia="ko-KR"/>
        </w:rPr>
        <w:t xml:space="preserve">The support of DC between </w:t>
      </w:r>
      <w:r w:rsidRPr="00046E10">
        <w:rPr>
          <w:szCs w:val="20"/>
          <w:lang w:eastAsia="ko-KR"/>
        </w:rPr>
        <w:t>NR licensed cell (</w:t>
      </w:r>
      <w:proofErr w:type="spellStart"/>
      <w:r w:rsidRPr="00046E10">
        <w:rPr>
          <w:szCs w:val="20"/>
          <w:lang w:eastAsia="ko-KR"/>
        </w:rPr>
        <w:t>PCell</w:t>
      </w:r>
      <w:proofErr w:type="spellEnd"/>
      <w:r w:rsidRPr="00046E10">
        <w:rPr>
          <w:szCs w:val="20"/>
          <w:lang w:eastAsia="ko-KR"/>
        </w:rPr>
        <w:t>) and NR unlicensed cell (</w:t>
      </w:r>
      <w:proofErr w:type="spellStart"/>
      <w:r w:rsidRPr="00046E10">
        <w:rPr>
          <w:szCs w:val="20"/>
          <w:lang w:eastAsia="ko-KR"/>
        </w:rPr>
        <w:t>PSCell</w:t>
      </w:r>
      <w:proofErr w:type="spellEnd"/>
      <w:r w:rsidRPr="00046E10">
        <w:rPr>
          <w:szCs w:val="20"/>
          <w:lang w:eastAsia="ko-KR"/>
        </w:rPr>
        <w:t>)</w:t>
      </w:r>
      <w:r>
        <w:rPr>
          <w:szCs w:val="20"/>
          <w:lang w:eastAsia="ko-KR"/>
        </w:rPr>
        <w:t xml:space="preserve"> can extend the possibl</w:t>
      </w:r>
      <w:r w:rsidR="001B3811">
        <w:rPr>
          <w:szCs w:val="20"/>
          <w:lang w:eastAsia="ko-KR"/>
        </w:rPr>
        <w:t xml:space="preserve">e network deployments by encompassing the non-ideal backhaul </w:t>
      </w:r>
      <w:r w:rsidR="00270E7D">
        <w:rPr>
          <w:szCs w:val="20"/>
          <w:lang w:eastAsia="ko-KR"/>
        </w:rPr>
        <w:t>scenarios</w:t>
      </w:r>
      <w:r w:rsidR="001B3811">
        <w:rPr>
          <w:szCs w:val="20"/>
          <w:lang w:eastAsia="ko-KR"/>
        </w:rPr>
        <w:t xml:space="preserve"> between licensed cell</w:t>
      </w:r>
      <w:r w:rsidR="00270E7D">
        <w:rPr>
          <w:szCs w:val="20"/>
          <w:lang w:eastAsia="ko-KR"/>
        </w:rPr>
        <w:t>(s)</w:t>
      </w:r>
      <w:r w:rsidR="001B3811">
        <w:rPr>
          <w:szCs w:val="20"/>
          <w:lang w:eastAsia="ko-KR"/>
        </w:rPr>
        <w:t xml:space="preserve"> and unlicensed cell</w:t>
      </w:r>
      <w:r w:rsidR="00270E7D">
        <w:rPr>
          <w:szCs w:val="20"/>
          <w:lang w:eastAsia="ko-KR"/>
        </w:rPr>
        <w:t>(s)</w:t>
      </w:r>
      <w:r w:rsidR="001B3811">
        <w:rPr>
          <w:szCs w:val="20"/>
          <w:lang w:eastAsia="ko-KR"/>
        </w:rPr>
        <w:t xml:space="preserve">. </w:t>
      </w:r>
      <w:r w:rsidR="00973EDB">
        <w:rPr>
          <w:szCs w:val="20"/>
          <w:lang w:eastAsia="ko-KR"/>
        </w:rPr>
        <w:t xml:space="preserve">In other words, the support of DC unleashes the deployment of unlicensed cells </w:t>
      </w:r>
      <w:r w:rsidR="00CF74CA">
        <w:rPr>
          <w:szCs w:val="20"/>
          <w:lang w:eastAsia="ko-KR"/>
        </w:rPr>
        <w:t xml:space="preserve">in </w:t>
      </w:r>
      <w:r w:rsidR="00CF74CA" w:rsidRPr="000438E5">
        <w:rPr>
          <w:szCs w:val="20"/>
          <w:lang w:eastAsia="ko-KR"/>
        </w:rPr>
        <w:t xml:space="preserve">a way that is unconstrained by the topology of the licensed </w:t>
      </w:r>
      <w:r w:rsidR="00CF74CA">
        <w:rPr>
          <w:szCs w:val="20"/>
          <w:lang w:eastAsia="ko-KR"/>
        </w:rPr>
        <w:t>cells</w:t>
      </w:r>
      <w:r w:rsidR="00CF74CA" w:rsidRPr="000438E5">
        <w:rPr>
          <w:szCs w:val="20"/>
          <w:lang w:eastAsia="ko-KR"/>
        </w:rPr>
        <w:t>.</w:t>
      </w:r>
      <w:r w:rsidR="001B3811">
        <w:rPr>
          <w:szCs w:val="20"/>
          <w:lang w:eastAsia="ko-KR"/>
        </w:rPr>
        <w:t xml:space="preserve"> </w:t>
      </w:r>
      <w:r w:rsidR="00044F34">
        <w:rPr>
          <w:szCs w:val="20"/>
          <w:lang w:eastAsia="ko-KR"/>
        </w:rPr>
        <w:t>From an L1 perspective, compared to CA between NR licensed cell (</w:t>
      </w:r>
      <w:proofErr w:type="spellStart"/>
      <w:r w:rsidR="00044F34">
        <w:rPr>
          <w:szCs w:val="20"/>
          <w:lang w:eastAsia="ko-KR"/>
        </w:rPr>
        <w:t>PCell</w:t>
      </w:r>
      <w:proofErr w:type="spellEnd"/>
      <w:r w:rsidR="00044F34">
        <w:rPr>
          <w:szCs w:val="20"/>
          <w:lang w:eastAsia="ko-KR"/>
        </w:rPr>
        <w:t>) and NR unlicensed cell (</w:t>
      </w:r>
      <w:proofErr w:type="spellStart"/>
      <w:r w:rsidR="00044F34">
        <w:rPr>
          <w:szCs w:val="20"/>
          <w:lang w:eastAsia="ko-KR"/>
        </w:rPr>
        <w:t>SCell</w:t>
      </w:r>
      <w:proofErr w:type="spellEnd"/>
      <w:r w:rsidR="00044F34">
        <w:rPr>
          <w:szCs w:val="20"/>
          <w:lang w:eastAsia="ko-KR"/>
        </w:rPr>
        <w:t xml:space="preserve">), PUCCH and PRACH are additionally needed to be supported on an unlicensed cell. On the other hand, </w:t>
      </w:r>
      <w:r w:rsidR="00F309FC">
        <w:rPr>
          <w:szCs w:val="20"/>
          <w:lang w:eastAsia="ko-KR"/>
        </w:rPr>
        <w:t>in order to support the DC</w:t>
      </w:r>
      <w:r w:rsidR="00F309FC" w:rsidRPr="00F309FC">
        <w:t xml:space="preserve"> </w:t>
      </w:r>
      <w:r w:rsidR="00F309FC" w:rsidRPr="00F309FC">
        <w:rPr>
          <w:szCs w:val="20"/>
          <w:lang w:eastAsia="ko-KR"/>
        </w:rPr>
        <w:t>between NR licensed cell (</w:t>
      </w:r>
      <w:proofErr w:type="spellStart"/>
      <w:r w:rsidR="00F309FC" w:rsidRPr="00F309FC">
        <w:rPr>
          <w:szCs w:val="20"/>
          <w:lang w:eastAsia="ko-KR"/>
        </w:rPr>
        <w:t>PCell</w:t>
      </w:r>
      <w:proofErr w:type="spellEnd"/>
      <w:r w:rsidR="00F309FC" w:rsidRPr="00F309FC">
        <w:rPr>
          <w:szCs w:val="20"/>
          <w:lang w:eastAsia="ko-KR"/>
        </w:rPr>
        <w:t>) and NR unlicensed cell (</w:t>
      </w:r>
      <w:proofErr w:type="spellStart"/>
      <w:r w:rsidR="00F309FC" w:rsidRPr="00F309FC">
        <w:rPr>
          <w:szCs w:val="20"/>
          <w:lang w:eastAsia="ko-KR"/>
        </w:rPr>
        <w:t>PSCell</w:t>
      </w:r>
      <w:proofErr w:type="spellEnd"/>
      <w:r w:rsidR="00F309FC" w:rsidRPr="00F309FC">
        <w:rPr>
          <w:szCs w:val="20"/>
          <w:lang w:eastAsia="ko-KR"/>
        </w:rPr>
        <w:t>)</w:t>
      </w:r>
      <w:r w:rsidR="00F309FC">
        <w:rPr>
          <w:szCs w:val="20"/>
          <w:lang w:eastAsia="ko-KR"/>
        </w:rPr>
        <w:t xml:space="preserve">, the development of DC between NR licensed cells needs to be preceded and </w:t>
      </w:r>
      <w:r w:rsidR="00F309FC" w:rsidRPr="00F309FC">
        <w:rPr>
          <w:szCs w:val="20"/>
          <w:lang w:eastAsia="ko-KR"/>
        </w:rPr>
        <w:t>the support of this scenario for NR unlicensed is subject to it.</w:t>
      </w:r>
    </w:p>
    <w:p w:rsidR="006176A6" w:rsidRDefault="00F309FC" w:rsidP="006176A6">
      <w:pPr>
        <w:spacing w:before="120" w:after="0"/>
        <w:rPr>
          <w:szCs w:val="20"/>
          <w:lang w:val="en-US" w:eastAsia="ko-KR"/>
        </w:rPr>
      </w:pPr>
      <w:r>
        <w:rPr>
          <w:b/>
          <w:szCs w:val="20"/>
          <w:lang w:eastAsia="ko-KR"/>
        </w:rPr>
        <w:t xml:space="preserve">Observation </w:t>
      </w:r>
      <w:r w:rsidR="005C6302">
        <w:rPr>
          <w:b/>
          <w:szCs w:val="20"/>
          <w:lang w:eastAsia="ko-KR"/>
        </w:rPr>
        <w:t>1</w:t>
      </w:r>
      <w:r>
        <w:rPr>
          <w:b/>
          <w:szCs w:val="20"/>
          <w:lang w:eastAsia="ko-KR"/>
        </w:rPr>
        <w:t xml:space="preserve">: In </w:t>
      </w:r>
      <w:r w:rsidRPr="00F309FC">
        <w:rPr>
          <w:b/>
          <w:szCs w:val="20"/>
          <w:lang w:eastAsia="ko-KR"/>
        </w:rPr>
        <w:t>order to support the DC between NR licensed cell (</w:t>
      </w:r>
      <w:proofErr w:type="spellStart"/>
      <w:r w:rsidRPr="00F309FC">
        <w:rPr>
          <w:b/>
          <w:szCs w:val="20"/>
          <w:lang w:eastAsia="ko-KR"/>
        </w:rPr>
        <w:t>PCell</w:t>
      </w:r>
      <w:proofErr w:type="spellEnd"/>
      <w:r w:rsidRPr="00F309FC">
        <w:rPr>
          <w:b/>
          <w:szCs w:val="20"/>
          <w:lang w:eastAsia="ko-KR"/>
        </w:rPr>
        <w:t>) and NR unlicensed cell (</w:t>
      </w:r>
      <w:proofErr w:type="spellStart"/>
      <w:r w:rsidRPr="00F309FC">
        <w:rPr>
          <w:b/>
          <w:szCs w:val="20"/>
          <w:lang w:eastAsia="ko-KR"/>
        </w:rPr>
        <w:t>PSCell</w:t>
      </w:r>
      <w:proofErr w:type="spellEnd"/>
      <w:r w:rsidRPr="00F309FC">
        <w:rPr>
          <w:b/>
          <w:szCs w:val="20"/>
          <w:lang w:eastAsia="ko-KR"/>
        </w:rPr>
        <w:t>), the development of DC between NR licensed cells needs to be preceded</w:t>
      </w:r>
      <w:r w:rsidR="00F851EE">
        <w:rPr>
          <w:b/>
          <w:szCs w:val="20"/>
          <w:lang w:eastAsia="ko-KR"/>
        </w:rPr>
        <w:t>.</w:t>
      </w:r>
    </w:p>
    <w:p w:rsidR="006176A6" w:rsidRPr="00B3524E" w:rsidRDefault="005F05D8" w:rsidP="002566E8">
      <w:pPr>
        <w:pStyle w:val="Heading2"/>
        <w:spacing w:before="360"/>
        <w:rPr>
          <w:rFonts w:ascii="Arial" w:hAnsi="Arial"/>
          <w:szCs w:val="24"/>
          <w:lang w:eastAsia="ko-KR"/>
        </w:rPr>
      </w:pPr>
      <w:r>
        <w:rPr>
          <w:rFonts w:ascii="Arial" w:hAnsi="Arial"/>
          <w:szCs w:val="24"/>
          <w:lang w:eastAsia="ko-KR"/>
        </w:rPr>
        <w:t>DC</w:t>
      </w:r>
      <w:r w:rsidR="006176A6" w:rsidRPr="005052A5">
        <w:rPr>
          <w:rFonts w:ascii="Arial" w:hAnsi="Arial"/>
          <w:szCs w:val="24"/>
          <w:lang w:eastAsia="ko-KR"/>
        </w:rPr>
        <w:t xml:space="preserve"> </w:t>
      </w:r>
      <w:r w:rsidR="006176A6" w:rsidRPr="000739E0">
        <w:rPr>
          <w:rFonts w:ascii="Arial" w:hAnsi="Arial"/>
          <w:szCs w:val="24"/>
          <w:lang w:eastAsia="ko-KR"/>
        </w:rPr>
        <w:t>between LTE</w:t>
      </w:r>
      <w:r>
        <w:rPr>
          <w:rFonts w:ascii="Arial" w:hAnsi="Arial"/>
          <w:szCs w:val="24"/>
          <w:lang w:eastAsia="ko-KR"/>
        </w:rPr>
        <w:t xml:space="preserve"> licensed cell</w:t>
      </w:r>
      <w:r w:rsidR="006176A6" w:rsidRPr="000739E0">
        <w:rPr>
          <w:rFonts w:ascii="Arial" w:hAnsi="Arial"/>
          <w:szCs w:val="24"/>
          <w:lang w:eastAsia="ko-KR"/>
        </w:rPr>
        <w:t xml:space="preserve"> (</w:t>
      </w:r>
      <w:proofErr w:type="spellStart"/>
      <w:r w:rsidR="006176A6" w:rsidRPr="000739E0">
        <w:rPr>
          <w:rFonts w:ascii="Arial" w:hAnsi="Arial"/>
          <w:szCs w:val="24"/>
          <w:lang w:eastAsia="ko-KR"/>
        </w:rPr>
        <w:t>PCell</w:t>
      </w:r>
      <w:proofErr w:type="spellEnd"/>
      <w:r w:rsidR="006176A6" w:rsidRPr="000739E0">
        <w:rPr>
          <w:rFonts w:ascii="Arial" w:hAnsi="Arial"/>
          <w:szCs w:val="24"/>
          <w:lang w:eastAsia="ko-KR"/>
        </w:rPr>
        <w:t>) and NR</w:t>
      </w:r>
      <w:r>
        <w:rPr>
          <w:rFonts w:ascii="Arial" w:hAnsi="Arial"/>
          <w:szCs w:val="24"/>
          <w:lang w:eastAsia="ko-KR"/>
        </w:rPr>
        <w:t xml:space="preserve"> unlicensed cell</w:t>
      </w:r>
      <w:r w:rsidR="006176A6" w:rsidRPr="000739E0">
        <w:rPr>
          <w:rFonts w:ascii="Arial" w:hAnsi="Arial"/>
          <w:szCs w:val="24"/>
          <w:lang w:eastAsia="ko-KR"/>
        </w:rPr>
        <w:t xml:space="preserve"> (</w:t>
      </w:r>
      <w:proofErr w:type="spellStart"/>
      <w:r w:rsidR="006176A6" w:rsidRPr="006176A6">
        <w:rPr>
          <w:rFonts w:ascii="Arial" w:hAnsi="Arial"/>
          <w:szCs w:val="24"/>
          <w:lang w:eastAsia="ko-KR"/>
        </w:rPr>
        <w:t>PSCell</w:t>
      </w:r>
      <w:proofErr w:type="spellEnd"/>
      <w:r w:rsidR="006176A6" w:rsidRPr="000739E0">
        <w:rPr>
          <w:rFonts w:ascii="Arial" w:hAnsi="Arial"/>
          <w:szCs w:val="24"/>
          <w:lang w:eastAsia="ko-KR"/>
        </w:rPr>
        <w:t>)</w:t>
      </w:r>
    </w:p>
    <w:p w:rsidR="004C6D3E" w:rsidRDefault="00975340" w:rsidP="004C6D3E">
      <w:pPr>
        <w:spacing w:before="120" w:after="0"/>
        <w:rPr>
          <w:szCs w:val="20"/>
          <w:lang w:eastAsia="ko-KR"/>
        </w:rPr>
      </w:pPr>
      <w:r>
        <w:rPr>
          <w:szCs w:val="20"/>
          <w:lang w:eastAsia="ko-KR"/>
        </w:rPr>
        <w:t>This deplo</w:t>
      </w:r>
      <w:r w:rsidR="000F7264">
        <w:rPr>
          <w:szCs w:val="20"/>
          <w:lang w:eastAsia="ko-KR"/>
        </w:rPr>
        <w:t xml:space="preserve">yment option is particularly useful for operators to leverage existing licensed LTE deployment without the need for NR licensed spectrum using the NR-unlicensed technology. </w:t>
      </w:r>
      <w:r w:rsidR="003003A8">
        <w:rPr>
          <w:szCs w:val="20"/>
          <w:lang w:eastAsia="ko-KR"/>
        </w:rPr>
        <w:t xml:space="preserve">From an architectural standpoint, </w:t>
      </w:r>
      <w:r w:rsidR="003003A8">
        <w:rPr>
          <w:rFonts w:ascii="Times New Roman" w:eastAsia="Malgun Gothic" w:hAnsi="Times New Roman"/>
          <w:szCs w:val="20"/>
          <w:lang w:val="en-US" w:eastAsia="zh-CN"/>
        </w:rPr>
        <w:t>r</w:t>
      </w:r>
      <w:r w:rsidR="003003A8" w:rsidRPr="004C6D3E">
        <w:rPr>
          <w:rFonts w:ascii="Times New Roman" w:eastAsia="Malgun Gothic" w:hAnsi="Times New Roman"/>
          <w:szCs w:val="20"/>
          <w:lang w:val="en-US" w:eastAsia="zh-CN"/>
        </w:rPr>
        <w:t xml:space="preserve">egardless of whether the backhaul is ideal or not, this scenario can be supported by </w:t>
      </w:r>
      <w:r w:rsidR="003003A8">
        <w:rPr>
          <w:rFonts w:ascii="Times New Roman" w:eastAsia="Malgun Gothic" w:hAnsi="Times New Roman"/>
          <w:szCs w:val="20"/>
          <w:lang w:val="en-US" w:eastAsia="zh-CN"/>
        </w:rPr>
        <w:t xml:space="preserve">the </w:t>
      </w:r>
      <w:r w:rsidR="003003A8" w:rsidRPr="004C6D3E">
        <w:rPr>
          <w:rFonts w:ascii="Times New Roman" w:eastAsia="Malgun Gothic" w:hAnsi="Times New Roman"/>
          <w:szCs w:val="20"/>
          <w:lang w:val="en-US" w:eastAsia="zh-CN"/>
        </w:rPr>
        <w:t>EN-DC</w:t>
      </w:r>
      <w:r w:rsidR="003003A8">
        <w:rPr>
          <w:rFonts w:ascii="Times New Roman" w:eastAsia="Malgun Gothic" w:hAnsi="Times New Roman"/>
          <w:szCs w:val="20"/>
          <w:lang w:val="en-US" w:eastAsia="zh-CN"/>
        </w:rPr>
        <w:t xml:space="preserve"> </w:t>
      </w:r>
      <w:r w:rsidR="003003A8" w:rsidRPr="004C6D3E">
        <w:rPr>
          <w:rFonts w:ascii="Times New Roman" w:eastAsia="Malgun Gothic" w:hAnsi="Times New Roman"/>
          <w:szCs w:val="20"/>
          <w:lang w:val="en-US" w:eastAsia="zh-CN"/>
        </w:rPr>
        <w:t xml:space="preserve">framework from high layer point of view. With this scenario, </w:t>
      </w:r>
      <w:r w:rsidR="003003A8" w:rsidRPr="004C6D3E">
        <w:rPr>
          <w:rFonts w:eastAsia="Malgun Gothic"/>
          <w:szCs w:val="20"/>
          <w:lang w:eastAsia="zh-CN"/>
        </w:rPr>
        <w:t xml:space="preserve">LTE RRC does not need to understand NR L1/L2 configuration and </w:t>
      </w:r>
      <w:r w:rsidR="0032038C">
        <w:rPr>
          <w:rFonts w:eastAsia="Malgun Gothic"/>
          <w:szCs w:val="20"/>
          <w:lang w:eastAsia="zh-CN"/>
        </w:rPr>
        <w:t xml:space="preserve">the design </w:t>
      </w:r>
      <w:r w:rsidR="003003A8" w:rsidRPr="004C6D3E">
        <w:rPr>
          <w:rFonts w:eastAsia="Malgun Gothic"/>
          <w:szCs w:val="20"/>
          <w:lang w:eastAsia="zh-CN"/>
        </w:rPr>
        <w:t>will be simpler i</w:t>
      </w:r>
      <w:r w:rsidR="003003A8">
        <w:rPr>
          <w:rFonts w:eastAsia="Malgun Gothic"/>
          <w:szCs w:val="20"/>
          <w:lang w:eastAsia="zh-CN"/>
        </w:rPr>
        <w:t xml:space="preserve">f NR part is transparent to LTE, </w:t>
      </w:r>
      <w:r w:rsidR="003003A8" w:rsidRPr="004C6D3E">
        <w:rPr>
          <w:rFonts w:eastAsia="Malgun Gothic"/>
          <w:szCs w:val="20"/>
          <w:lang w:eastAsia="zh-CN"/>
        </w:rPr>
        <w:t>where t</w:t>
      </w:r>
      <w:r w:rsidR="00F37A40">
        <w:rPr>
          <w:rFonts w:eastAsia="Malgun Gothic"/>
          <w:szCs w:val="20"/>
          <w:lang w:eastAsia="zh-CN"/>
        </w:rPr>
        <w:t>he NR configuration is encapsulated</w:t>
      </w:r>
      <w:r w:rsidR="003003A8" w:rsidRPr="004C6D3E">
        <w:rPr>
          <w:rFonts w:eastAsia="Malgun Gothic"/>
          <w:szCs w:val="20"/>
          <w:lang w:eastAsia="zh-CN"/>
        </w:rPr>
        <w:t xml:space="preserve"> within a container.</w:t>
      </w:r>
      <w:r w:rsidR="00BD358D">
        <w:rPr>
          <w:szCs w:val="20"/>
          <w:lang w:eastAsia="ko-KR"/>
        </w:rPr>
        <w:t xml:space="preserve"> </w:t>
      </w:r>
      <w:r w:rsidR="004C6D3E">
        <w:rPr>
          <w:szCs w:val="20"/>
          <w:lang w:eastAsia="ko-KR"/>
        </w:rPr>
        <w:t>Because of its implications in higher throughput by complementing LTE with</w:t>
      </w:r>
      <w:r w:rsidR="00AB2F47">
        <w:rPr>
          <w:szCs w:val="20"/>
          <w:lang w:eastAsia="ko-KR"/>
        </w:rPr>
        <w:t xml:space="preserve"> NR-</w:t>
      </w:r>
      <w:r w:rsidR="00BD358D">
        <w:rPr>
          <w:szCs w:val="20"/>
          <w:lang w:eastAsia="ko-KR"/>
        </w:rPr>
        <w:t xml:space="preserve">unlicensed </w:t>
      </w:r>
      <w:r w:rsidR="004C6D3E">
        <w:rPr>
          <w:szCs w:val="20"/>
          <w:lang w:eastAsia="ko-KR"/>
        </w:rPr>
        <w:t xml:space="preserve">through </w:t>
      </w:r>
      <w:r w:rsidR="00F37A40">
        <w:rPr>
          <w:szCs w:val="20"/>
          <w:lang w:eastAsia="ko-KR"/>
        </w:rPr>
        <w:t>DC</w:t>
      </w:r>
      <w:r w:rsidR="004C6D3E">
        <w:rPr>
          <w:szCs w:val="20"/>
          <w:lang w:eastAsia="ko-KR"/>
        </w:rPr>
        <w:t xml:space="preserve">, </w:t>
      </w:r>
      <w:r w:rsidR="00136330">
        <w:rPr>
          <w:szCs w:val="20"/>
          <w:lang w:eastAsia="ko-KR"/>
        </w:rPr>
        <w:t xml:space="preserve">and </w:t>
      </w:r>
      <w:r w:rsidR="004C6D3E">
        <w:rPr>
          <w:szCs w:val="20"/>
          <w:lang w:eastAsia="ko-KR"/>
        </w:rPr>
        <w:t xml:space="preserve">the </w:t>
      </w:r>
      <w:r w:rsidR="00AB2F47">
        <w:rPr>
          <w:szCs w:val="20"/>
          <w:lang w:eastAsia="ko-KR"/>
        </w:rPr>
        <w:t xml:space="preserve">ability to be used whether the backhaul is </w:t>
      </w:r>
      <w:r w:rsidR="004C6D3E">
        <w:rPr>
          <w:szCs w:val="20"/>
          <w:lang w:eastAsia="ko-KR"/>
        </w:rPr>
        <w:t xml:space="preserve">ideal </w:t>
      </w:r>
      <w:r w:rsidR="00AB2F47">
        <w:rPr>
          <w:szCs w:val="20"/>
          <w:lang w:eastAsia="ko-KR"/>
        </w:rPr>
        <w:t>or</w:t>
      </w:r>
      <w:r w:rsidR="004C6D3E">
        <w:rPr>
          <w:szCs w:val="20"/>
          <w:lang w:eastAsia="ko-KR"/>
        </w:rPr>
        <w:t xml:space="preserve"> non-ideal, </w:t>
      </w:r>
      <w:r w:rsidR="00BD358D">
        <w:rPr>
          <w:szCs w:val="20"/>
          <w:lang w:eastAsia="ko-KR"/>
        </w:rPr>
        <w:t xml:space="preserve">we see a good amount of motivation to support this scenario. </w:t>
      </w:r>
    </w:p>
    <w:p w:rsidR="004C6D3E" w:rsidRPr="004C6D3E" w:rsidRDefault="004C6D3E" w:rsidP="004C6D3E">
      <w:pPr>
        <w:spacing w:before="120" w:after="0"/>
        <w:rPr>
          <w:rFonts w:ascii="Arial" w:hAnsi="Arial" w:cs="Arial"/>
          <w:bCs/>
          <w:iCs/>
          <w:sz w:val="24"/>
          <w:lang w:eastAsia="ko-KR"/>
        </w:rPr>
      </w:pPr>
      <w:r>
        <w:rPr>
          <w:b/>
          <w:szCs w:val="20"/>
          <w:lang w:eastAsia="ko-KR"/>
        </w:rPr>
        <w:t>Proposal</w:t>
      </w:r>
      <w:r w:rsidR="00136330">
        <w:rPr>
          <w:b/>
          <w:szCs w:val="20"/>
          <w:lang w:eastAsia="ko-KR"/>
        </w:rPr>
        <w:t xml:space="preserve"> </w:t>
      </w:r>
      <w:r w:rsidR="005C6302">
        <w:rPr>
          <w:b/>
          <w:szCs w:val="20"/>
          <w:lang w:eastAsia="ko-KR"/>
        </w:rPr>
        <w:t>2</w:t>
      </w:r>
      <w:r>
        <w:rPr>
          <w:b/>
          <w:szCs w:val="20"/>
          <w:lang w:eastAsia="ko-KR"/>
        </w:rPr>
        <w:t xml:space="preserve">: </w:t>
      </w:r>
      <w:r w:rsidR="00BD358D">
        <w:rPr>
          <w:b/>
          <w:szCs w:val="20"/>
          <w:lang w:eastAsia="ko-KR"/>
        </w:rPr>
        <w:t xml:space="preserve">The dual connectivity </w:t>
      </w:r>
      <w:r w:rsidR="00BD358D" w:rsidRPr="00BD358D">
        <w:rPr>
          <w:b/>
          <w:szCs w:val="20"/>
          <w:lang w:eastAsia="ko-KR"/>
        </w:rPr>
        <w:t>between LTE licensed cell (</w:t>
      </w:r>
      <w:proofErr w:type="spellStart"/>
      <w:r w:rsidR="00BD358D" w:rsidRPr="00BD358D">
        <w:rPr>
          <w:b/>
          <w:szCs w:val="20"/>
          <w:lang w:eastAsia="ko-KR"/>
        </w:rPr>
        <w:t>PCell</w:t>
      </w:r>
      <w:proofErr w:type="spellEnd"/>
      <w:r w:rsidR="00BD358D" w:rsidRPr="00BD358D">
        <w:rPr>
          <w:b/>
          <w:szCs w:val="20"/>
          <w:lang w:eastAsia="ko-KR"/>
        </w:rPr>
        <w:t>) and NR unlicensed cell (</w:t>
      </w:r>
      <w:proofErr w:type="spellStart"/>
      <w:r w:rsidR="00BD358D" w:rsidRPr="00BD358D">
        <w:rPr>
          <w:b/>
          <w:szCs w:val="20"/>
          <w:lang w:eastAsia="ko-KR"/>
        </w:rPr>
        <w:t>PSCell</w:t>
      </w:r>
      <w:proofErr w:type="spellEnd"/>
      <w:r w:rsidR="00BD358D" w:rsidRPr="00BD358D">
        <w:rPr>
          <w:b/>
          <w:szCs w:val="20"/>
          <w:lang w:eastAsia="ko-KR"/>
        </w:rPr>
        <w:t>)</w:t>
      </w:r>
      <w:r w:rsidR="00BD358D">
        <w:rPr>
          <w:b/>
          <w:szCs w:val="20"/>
          <w:lang w:eastAsia="ko-KR"/>
        </w:rPr>
        <w:t xml:space="preserve"> is studied in the scope of </w:t>
      </w:r>
      <w:r w:rsidR="004C2E46">
        <w:rPr>
          <w:b/>
          <w:szCs w:val="20"/>
          <w:lang w:eastAsia="ko-KR"/>
        </w:rPr>
        <w:t xml:space="preserve">this </w:t>
      </w:r>
      <w:r w:rsidR="00BD358D">
        <w:rPr>
          <w:b/>
          <w:szCs w:val="20"/>
          <w:lang w:eastAsia="ko-KR"/>
        </w:rPr>
        <w:t>study item</w:t>
      </w:r>
      <w:r w:rsidR="00136330">
        <w:rPr>
          <w:b/>
          <w:szCs w:val="20"/>
          <w:lang w:eastAsia="ko-KR"/>
        </w:rPr>
        <w:t>.</w:t>
      </w:r>
    </w:p>
    <w:p w:rsidR="006176A6" w:rsidRPr="00D6216C" w:rsidRDefault="006176A6" w:rsidP="002566E8">
      <w:pPr>
        <w:pStyle w:val="Heading2"/>
        <w:spacing w:before="360"/>
        <w:rPr>
          <w:rFonts w:ascii="Arial" w:hAnsi="Arial"/>
          <w:szCs w:val="24"/>
          <w:lang w:eastAsia="ko-KR"/>
        </w:rPr>
      </w:pPr>
      <w:r w:rsidRPr="005052A5">
        <w:rPr>
          <w:rFonts w:ascii="Arial" w:hAnsi="Arial"/>
          <w:szCs w:val="24"/>
          <w:lang w:eastAsia="ko-KR"/>
        </w:rPr>
        <w:t>Standalone NR-U</w:t>
      </w:r>
      <w:r w:rsidR="00B62E6F">
        <w:rPr>
          <w:rFonts w:ascii="Arial" w:hAnsi="Arial"/>
          <w:szCs w:val="24"/>
          <w:lang w:eastAsia="ko-KR"/>
        </w:rPr>
        <w:t>nlicensed</w:t>
      </w:r>
    </w:p>
    <w:p w:rsidR="00061BC2" w:rsidRDefault="008661D2" w:rsidP="00061BC2">
      <w:pPr>
        <w:rPr>
          <w:szCs w:val="20"/>
          <w:lang w:eastAsia="ko-KR"/>
        </w:rPr>
      </w:pPr>
      <w:r>
        <w:rPr>
          <w:szCs w:val="20"/>
          <w:lang w:eastAsia="ko-KR"/>
        </w:rPr>
        <w:t>The ability to make NR technology available and scalable across a multitude of applications</w:t>
      </w:r>
      <w:r w:rsidR="00B62E6F">
        <w:rPr>
          <w:szCs w:val="20"/>
          <w:lang w:eastAsia="ko-KR"/>
        </w:rPr>
        <w:t xml:space="preserve"> </w:t>
      </w:r>
      <w:r w:rsidR="00EE77B9">
        <w:rPr>
          <w:szCs w:val="20"/>
          <w:lang w:eastAsia="ko-KR"/>
        </w:rPr>
        <w:t>using</w:t>
      </w:r>
      <w:r w:rsidR="00B62E6F">
        <w:rPr>
          <w:szCs w:val="20"/>
          <w:lang w:eastAsia="ko-KR"/>
        </w:rPr>
        <w:t xml:space="preserve"> only unlicensed spectrum</w:t>
      </w:r>
      <w:r>
        <w:rPr>
          <w:szCs w:val="20"/>
          <w:lang w:eastAsia="ko-KR"/>
        </w:rPr>
        <w:t xml:space="preserve"> is </w:t>
      </w:r>
      <w:r w:rsidR="00EE77B9">
        <w:rPr>
          <w:szCs w:val="20"/>
          <w:lang w:eastAsia="ko-KR"/>
        </w:rPr>
        <w:t xml:space="preserve">extremely </w:t>
      </w:r>
      <w:r w:rsidR="00F37A40">
        <w:rPr>
          <w:szCs w:val="20"/>
          <w:lang w:eastAsia="ko-KR"/>
        </w:rPr>
        <w:t>attractive</w:t>
      </w:r>
      <w:r w:rsidR="004C2E46">
        <w:rPr>
          <w:szCs w:val="20"/>
          <w:lang w:eastAsia="ko-KR"/>
        </w:rPr>
        <w:t xml:space="preserve">, </w:t>
      </w:r>
      <w:r>
        <w:rPr>
          <w:szCs w:val="20"/>
          <w:lang w:eastAsia="ko-KR"/>
        </w:rPr>
        <w:t xml:space="preserve">and will allow the best use of this technology. </w:t>
      </w:r>
      <w:r w:rsidR="00EE77B9">
        <w:rPr>
          <w:szCs w:val="20"/>
          <w:lang w:eastAsia="ko-KR"/>
        </w:rPr>
        <w:t>The standalone NR-unlicensed system</w:t>
      </w:r>
      <w:r w:rsidR="00E67FD2">
        <w:rPr>
          <w:szCs w:val="20"/>
          <w:lang w:eastAsia="ko-KR"/>
        </w:rPr>
        <w:t xml:space="preserve"> would be instrumental to support</w:t>
      </w:r>
      <w:r w:rsidR="00EE77B9">
        <w:rPr>
          <w:szCs w:val="20"/>
          <w:lang w:eastAsia="ko-KR"/>
        </w:rPr>
        <w:t xml:space="preserve"> </w:t>
      </w:r>
      <w:r w:rsidR="00EE77B9" w:rsidRPr="00EE77B9">
        <w:rPr>
          <w:szCs w:val="20"/>
          <w:lang w:eastAsia="ko-KR"/>
        </w:rPr>
        <w:t>ad-hoc deployment such as enterprise, factory settings and non-operator deployment in venue-like scenarios such as airport/railway station handling multiple service providers.</w:t>
      </w:r>
      <w:r w:rsidR="00075B9E">
        <w:rPr>
          <w:szCs w:val="20"/>
          <w:lang w:eastAsia="ko-KR"/>
        </w:rPr>
        <w:t xml:space="preserve"> </w:t>
      </w:r>
      <w:r w:rsidR="004C2E46">
        <w:rPr>
          <w:szCs w:val="20"/>
          <w:lang w:eastAsia="ko-KR"/>
        </w:rPr>
        <w:t xml:space="preserve">Furthermore, this scenario offers even greater flexibility than deployments that employ CA with licensed cells and DC, as it eliminates the need </w:t>
      </w:r>
      <w:proofErr w:type="spellStart"/>
      <w:r w:rsidR="004C2E46">
        <w:rPr>
          <w:szCs w:val="20"/>
          <w:lang w:eastAsia="ko-KR"/>
        </w:rPr>
        <w:t>fot</w:t>
      </w:r>
      <w:proofErr w:type="spellEnd"/>
      <w:r w:rsidR="004C2E46">
        <w:rPr>
          <w:szCs w:val="20"/>
          <w:lang w:eastAsia="ko-KR"/>
        </w:rPr>
        <w:t xml:space="preserve"> a licensed </w:t>
      </w:r>
      <w:proofErr w:type="spellStart"/>
      <w:r w:rsidR="004C2E46">
        <w:rPr>
          <w:szCs w:val="20"/>
          <w:lang w:eastAsia="ko-KR"/>
        </w:rPr>
        <w:t>PCell</w:t>
      </w:r>
      <w:proofErr w:type="spellEnd"/>
      <w:r w:rsidR="004C2E46">
        <w:rPr>
          <w:szCs w:val="20"/>
          <w:lang w:eastAsia="ko-KR"/>
        </w:rPr>
        <w:t xml:space="preserve"> and lower cost of deployment. </w:t>
      </w:r>
      <w:r w:rsidR="00075B9E">
        <w:rPr>
          <w:szCs w:val="20"/>
          <w:lang w:eastAsia="ko-KR"/>
        </w:rPr>
        <w:t>Therefore</w:t>
      </w:r>
      <w:r w:rsidR="00075B9E" w:rsidRPr="00075B9E">
        <w:rPr>
          <w:szCs w:val="20"/>
          <w:lang w:eastAsia="ko-KR"/>
        </w:rPr>
        <w:t>,</w:t>
      </w:r>
      <w:r w:rsidR="00075B9E">
        <w:rPr>
          <w:szCs w:val="20"/>
          <w:lang w:eastAsia="ko-KR"/>
        </w:rPr>
        <w:t xml:space="preserve"> we see </w:t>
      </w:r>
      <w:r w:rsidR="00075B9E" w:rsidRPr="00075B9E">
        <w:rPr>
          <w:szCs w:val="20"/>
          <w:lang w:eastAsia="ko-KR"/>
        </w:rPr>
        <w:t>a good amount of motivation to support this scenario.</w:t>
      </w:r>
    </w:p>
    <w:p w:rsidR="006176A6" w:rsidRPr="00061BC2" w:rsidRDefault="00E67FD2" w:rsidP="00061BC2">
      <w:pPr>
        <w:spacing w:after="0"/>
        <w:rPr>
          <w:szCs w:val="20"/>
          <w:lang w:eastAsia="ko-KR"/>
        </w:rPr>
      </w:pPr>
      <w:r>
        <w:rPr>
          <w:b/>
          <w:szCs w:val="20"/>
          <w:lang w:eastAsia="ko-KR"/>
        </w:rPr>
        <w:t>Proposal</w:t>
      </w:r>
      <w:r w:rsidR="006E749E">
        <w:rPr>
          <w:b/>
          <w:szCs w:val="20"/>
          <w:lang w:eastAsia="ko-KR"/>
        </w:rPr>
        <w:t xml:space="preserve"> </w:t>
      </w:r>
      <w:r w:rsidR="005C6302">
        <w:rPr>
          <w:b/>
          <w:szCs w:val="20"/>
          <w:lang w:eastAsia="ko-KR"/>
        </w:rPr>
        <w:t>3</w:t>
      </w:r>
      <w:r>
        <w:rPr>
          <w:b/>
          <w:szCs w:val="20"/>
          <w:lang w:eastAsia="ko-KR"/>
        </w:rPr>
        <w:t xml:space="preserve">: </w:t>
      </w:r>
      <w:r w:rsidR="005F05D8">
        <w:rPr>
          <w:b/>
          <w:szCs w:val="20"/>
          <w:lang w:eastAsia="ko-KR"/>
        </w:rPr>
        <w:t xml:space="preserve">The standalone NR-unlicensed is studied in the scope of </w:t>
      </w:r>
      <w:r w:rsidR="004C2E46">
        <w:rPr>
          <w:b/>
          <w:szCs w:val="20"/>
          <w:lang w:eastAsia="ko-KR"/>
        </w:rPr>
        <w:t xml:space="preserve">this </w:t>
      </w:r>
      <w:r w:rsidR="005F05D8">
        <w:rPr>
          <w:b/>
          <w:szCs w:val="20"/>
          <w:lang w:eastAsia="ko-KR"/>
        </w:rPr>
        <w:t xml:space="preserve">study item. </w:t>
      </w:r>
    </w:p>
    <w:p w:rsidR="00CE71E3" w:rsidRPr="0099619E" w:rsidRDefault="00CE71E3" w:rsidP="00CE71E3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:rsidR="004C6D3E" w:rsidRDefault="004C6D3E" w:rsidP="00061BC2">
      <w:pPr>
        <w:pStyle w:val="LGTdoc"/>
        <w:spacing w:before="240" w:afterLines="0" w:after="0" w:line="240" w:lineRule="auto"/>
        <w:rPr>
          <w:sz w:val="20"/>
          <w:szCs w:val="20"/>
        </w:rPr>
      </w:pPr>
      <w:r>
        <w:rPr>
          <w:sz w:val="20"/>
          <w:szCs w:val="20"/>
        </w:rPr>
        <w:t>In this contribution, we discussed about the</w:t>
      </w:r>
      <w:r w:rsidRPr="009A6138">
        <w:rPr>
          <w:sz w:val="20"/>
          <w:szCs w:val="20"/>
        </w:rPr>
        <w:t xml:space="preserve"> </w:t>
      </w:r>
      <w:r>
        <w:rPr>
          <w:sz w:val="20"/>
          <w:szCs w:val="20"/>
        </w:rPr>
        <w:t>introduction of deployment scenarios for NR-U</w:t>
      </w:r>
      <w:r w:rsidR="006E749E">
        <w:rPr>
          <w:sz w:val="20"/>
          <w:szCs w:val="20"/>
        </w:rPr>
        <w:t xml:space="preserve">, </w:t>
      </w:r>
      <w:r>
        <w:rPr>
          <w:sz w:val="20"/>
          <w:szCs w:val="20"/>
        </w:rPr>
        <w:t>and the following proposals</w:t>
      </w:r>
      <w:r w:rsidR="004C2E46">
        <w:rPr>
          <w:sz w:val="20"/>
          <w:szCs w:val="20"/>
        </w:rPr>
        <w:t xml:space="preserve"> and observations</w:t>
      </w:r>
      <w:r>
        <w:rPr>
          <w:sz w:val="20"/>
          <w:szCs w:val="20"/>
        </w:rPr>
        <w:t xml:space="preserve"> were derived:</w:t>
      </w:r>
    </w:p>
    <w:p w:rsidR="005C6302" w:rsidRPr="002566E8" w:rsidRDefault="005C6302" w:rsidP="00061BC2">
      <w:pPr>
        <w:pStyle w:val="LGTdoc"/>
        <w:spacing w:before="240" w:afterLines="0" w:after="0" w:line="240" w:lineRule="auto"/>
        <w:rPr>
          <w:rFonts w:ascii="Times" w:hAnsi="Times"/>
          <w:b/>
          <w:kern w:val="0"/>
          <w:sz w:val="20"/>
          <w:szCs w:val="20"/>
          <w:lang w:val="en-GB"/>
        </w:rPr>
      </w:pPr>
      <w:bookmarkStart w:id="1" w:name="_GoBack"/>
      <w:r w:rsidRPr="002566E8">
        <w:rPr>
          <w:rFonts w:ascii="Times" w:hAnsi="Times"/>
          <w:b/>
          <w:kern w:val="0"/>
          <w:sz w:val="20"/>
          <w:szCs w:val="20"/>
          <w:lang w:val="en-GB"/>
        </w:rPr>
        <w:t>Proposal 1: The carrier aggregation between NR 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PCell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>) and NR unlicensed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SCell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 xml:space="preserve">) is studied within the scope of </w:t>
      </w:r>
      <w:r w:rsidR="007F4138">
        <w:rPr>
          <w:rFonts w:ascii="Times" w:hAnsi="Times"/>
          <w:b/>
          <w:kern w:val="0"/>
          <w:sz w:val="20"/>
          <w:szCs w:val="20"/>
          <w:lang w:val="en-GB"/>
        </w:rPr>
        <w:t xml:space="preserve">this </w:t>
      </w:r>
      <w:r w:rsidRPr="002566E8">
        <w:rPr>
          <w:rFonts w:ascii="Times" w:hAnsi="Times"/>
          <w:b/>
          <w:kern w:val="0"/>
          <w:sz w:val="20"/>
          <w:szCs w:val="20"/>
          <w:lang w:val="en-GB"/>
        </w:rPr>
        <w:t>study item.</w:t>
      </w:r>
    </w:p>
    <w:p w:rsidR="005C6302" w:rsidRPr="002566E8" w:rsidRDefault="005C6302" w:rsidP="00061BC2">
      <w:pPr>
        <w:pStyle w:val="LGTdoc"/>
        <w:spacing w:before="240" w:afterLines="0" w:after="0" w:line="240" w:lineRule="auto"/>
        <w:rPr>
          <w:rFonts w:ascii="Times" w:hAnsi="Times"/>
          <w:b/>
          <w:kern w:val="0"/>
          <w:sz w:val="20"/>
          <w:szCs w:val="20"/>
          <w:lang w:val="en-GB"/>
        </w:rPr>
      </w:pPr>
      <w:r w:rsidRPr="002566E8">
        <w:rPr>
          <w:rFonts w:ascii="Times" w:hAnsi="Times"/>
          <w:b/>
          <w:kern w:val="0"/>
          <w:sz w:val="20"/>
          <w:szCs w:val="20"/>
          <w:lang w:val="en-GB"/>
        </w:rPr>
        <w:t>Observation 1: In order to support the DC between NR 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PCell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>) and NR unlicensed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PSCell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>), the development of DC between NR licensed cells needs to be preceded.</w:t>
      </w:r>
    </w:p>
    <w:p w:rsidR="005C6302" w:rsidRPr="002566E8" w:rsidRDefault="005C6302" w:rsidP="00061BC2">
      <w:pPr>
        <w:pStyle w:val="LGTdoc"/>
        <w:spacing w:before="240" w:afterLines="0" w:after="0" w:line="240" w:lineRule="auto"/>
        <w:rPr>
          <w:rFonts w:ascii="Times" w:hAnsi="Times"/>
          <w:b/>
          <w:kern w:val="0"/>
          <w:sz w:val="20"/>
          <w:szCs w:val="20"/>
          <w:lang w:val="en-GB"/>
        </w:rPr>
      </w:pPr>
      <w:r w:rsidRPr="002566E8">
        <w:rPr>
          <w:rFonts w:ascii="Times" w:hAnsi="Times"/>
          <w:b/>
          <w:kern w:val="0"/>
          <w:sz w:val="20"/>
          <w:szCs w:val="20"/>
          <w:lang w:val="en-GB"/>
        </w:rPr>
        <w:t>Proposal 2: The dual connectivity between LTE 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PCell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>) and NR unlicensed cell (</w:t>
      </w:r>
      <w:proofErr w:type="spellStart"/>
      <w:r w:rsidRPr="002566E8">
        <w:rPr>
          <w:rFonts w:ascii="Times" w:hAnsi="Times"/>
          <w:b/>
          <w:kern w:val="0"/>
          <w:sz w:val="20"/>
          <w:szCs w:val="20"/>
          <w:lang w:val="en-GB"/>
        </w:rPr>
        <w:t>PSCell</w:t>
      </w:r>
      <w:proofErr w:type="spellEnd"/>
      <w:r w:rsidRPr="002566E8">
        <w:rPr>
          <w:rFonts w:ascii="Times" w:hAnsi="Times"/>
          <w:b/>
          <w:kern w:val="0"/>
          <w:sz w:val="20"/>
          <w:szCs w:val="20"/>
          <w:lang w:val="en-GB"/>
        </w:rPr>
        <w:t xml:space="preserve">) is studied in the scope of </w:t>
      </w:r>
      <w:r w:rsidR="004C2E46">
        <w:rPr>
          <w:rFonts w:ascii="Times" w:hAnsi="Times"/>
          <w:b/>
          <w:kern w:val="0"/>
          <w:sz w:val="20"/>
          <w:szCs w:val="20"/>
          <w:lang w:val="en-GB"/>
        </w:rPr>
        <w:t>this</w:t>
      </w:r>
      <w:r w:rsidR="004C2E46" w:rsidRPr="002566E8">
        <w:rPr>
          <w:rFonts w:ascii="Times" w:hAnsi="Times"/>
          <w:b/>
          <w:kern w:val="0"/>
          <w:sz w:val="20"/>
          <w:szCs w:val="20"/>
          <w:lang w:val="en-GB"/>
        </w:rPr>
        <w:t xml:space="preserve"> </w:t>
      </w:r>
      <w:r w:rsidRPr="002566E8">
        <w:rPr>
          <w:rFonts w:ascii="Times" w:hAnsi="Times"/>
          <w:b/>
          <w:kern w:val="0"/>
          <w:sz w:val="20"/>
          <w:szCs w:val="20"/>
          <w:lang w:val="en-GB"/>
        </w:rPr>
        <w:t>study item.</w:t>
      </w:r>
    </w:p>
    <w:p w:rsidR="005C6302" w:rsidRPr="002566E8" w:rsidRDefault="005C6302" w:rsidP="00061BC2">
      <w:pPr>
        <w:spacing w:before="240" w:after="0"/>
        <w:rPr>
          <w:b/>
          <w:szCs w:val="20"/>
        </w:rPr>
      </w:pPr>
      <w:r>
        <w:rPr>
          <w:b/>
          <w:szCs w:val="20"/>
          <w:lang w:eastAsia="ko-KR"/>
        </w:rPr>
        <w:t xml:space="preserve">Proposal 3: The standalone NR-unlicensed is studied in the scope of </w:t>
      </w:r>
      <w:r w:rsidR="004C2E46">
        <w:rPr>
          <w:b/>
          <w:szCs w:val="20"/>
          <w:lang w:eastAsia="ko-KR"/>
        </w:rPr>
        <w:t xml:space="preserve">this </w:t>
      </w:r>
      <w:r>
        <w:rPr>
          <w:b/>
          <w:szCs w:val="20"/>
          <w:lang w:eastAsia="ko-KR"/>
        </w:rPr>
        <w:t xml:space="preserve">study item. </w:t>
      </w:r>
    </w:p>
    <w:bookmarkEnd w:id="1"/>
    <w:p w:rsidR="00CE71E3" w:rsidRPr="0099619E" w:rsidRDefault="00CE71E3" w:rsidP="004C6D3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sz w:val="28"/>
          <w:lang w:val="en-US"/>
        </w:rPr>
      </w:pPr>
      <w:r w:rsidRPr="0099619E">
        <w:rPr>
          <w:sz w:val="28"/>
          <w:lang w:val="en-US"/>
        </w:rPr>
        <w:lastRenderedPageBreak/>
        <w:t>References</w:t>
      </w:r>
    </w:p>
    <w:p w:rsidR="00790BC0" w:rsidRPr="00C249B1" w:rsidRDefault="00790BC0" w:rsidP="00C249B1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C249B1">
        <w:rPr>
          <w:rFonts w:ascii="Times New Roman" w:hAnsi="Times New Roman"/>
        </w:rPr>
        <w:t>[1] RP-172021, “New SID on NR-based Access to Unlicensed Spectrum”, Qualcomm Inc., 3GPP TSG RAN Meeting</w:t>
      </w:r>
      <w:r w:rsidR="00C249B1">
        <w:rPr>
          <w:rFonts w:ascii="Times New Roman" w:hAnsi="Times New Roman"/>
        </w:rPr>
        <w:t xml:space="preserve"> </w:t>
      </w:r>
      <w:r w:rsidRPr="00C249B1">
        <w:rPr>
          <w:rFonts w:ascii="Times New Roman" w:hAnsi="Times New Roman"/>
        </w:rPr>
        <w:t>#77, September, 2017.</w:t>
      </w:r>
    </w:p>
    <w:p w:rsidR="00CE71E3" w:rsidRPr="006176A6" w:rsidRDefault="00CE71E3" w:rsidP="006176A6"/>
    <w:sectPr w:rsidR="00CE71E3" w:rsidRPr="006176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F5732"/>
    <w:multiLevelType w:val="hybridMultilevel"/>
    <w:tmpl w:val="9A68FF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946EC4">
      <w:numFmt w:val="bullet"/>
      <w:lvlText w:val="-"/>
      <w:lvlJc w:val="left"/>
      <w:pPr>
        <w:ind w:left="1800" w:hanging="360"/>
      </w:pPr>
      <w:rPr>
        <w:rFonts w:ascii="Times" w:eastAsia="Batang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9D1659"/>
    <w:multiLevelType w:val="hybridMultilevel"/>
    <w:tmpl w:val="7F5C6C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640CA2D6">
      <w:start w:val="1"/>
      <w:numFmt w:val="bullet"/>
      <w:lvlText w:val="‐"/>
      <w:lvlJc w:val="left"/>
      <w:pPr>
        <w:ind w:left="1800" w:hanging="360"/>
      </w:pPr>
      <w:rPr>
        <w:rFonts w:ascii="Intel Clear" w:hAnsi="Intel Clear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A2733F"/>
    <w:multiLevelType w:val="hybridMultilevel"/>
    <w:tmpl w:val="484AD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661D3"/>
    <w:multiLevelType w:val="hybridMultilevel"/>
    <w:tmpl w:val="8F20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F0269"/>
    <w:multiLevelType w:val="hybridMultilevel"/>
    <w:tmpl w:val="484AD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23B2B"/>
    <w:multiLevelType w:val="hybridMultilevel"/>
    <w:tmpl w:val="47C26BC4"/>
    <w:lvl w:ilvl="0" w:tplc="4922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4610B"/>
    <w:multiLevelType w:val="hybridMultilevel"/>
    <w:tmpl w:val="8F20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A6"/>
    <w:rsid w:val="00007032"/>
    <w:rsid w:val="000238CB"/>
    <w:rsid w:val="00025D28"/>
    <w:rsid w:val="000438E5"/>
    <w:rsid w:val="00044F34"/>
    <w:rsid w:val="000456EA"/>
    <w:rsid w:val="00046E10"/>
    <w:rsid w:val="00061BC2"/>
    <w:rsid w:val="00075B9E"/>
    <w:rsid w:val="00086922"/>
    <w:rsid w:val="000D69AE"/>
    <w:rsid w:val="000F5119"/>
    <w:rsid w:val="000F56A8"/>
    <w:rsid w:val="000F7264"/>
    <w:rsid w:val="00136330"/>
    <w:rsid w:val="00172E15"/>
    <w:rsid w:val="00187E79"/>
    <w:rsid w:val="0019249D"/>
    <w:rsid w:val="001A4D3D"/>
    <w:rsid w:val="001B3811"/>
    <w:rsid w:val="001C0F05"/>
    <w:rsid w:val="001D3110"/>
    <w:rsid w:val="001E6414"/>
    <w:rsid w:val="00213457"/>
    <w:rsid w:val="00215913"/>
    <w:rsid w:val="00236D61"/>
    <w:rsid w:val="002566E8"/>
    <w:rsid w:val="00270E7D"/>
    <w:rsid w:val="0028518C"/>
    <w:rsid w:val="002C31E6"/>
    <w:rsid w:val="002D6395"/>
    <w:rsid w:val="002D6A7F"/>
    <w:rsid w:val="003003A8"/>
    <w:rsid w:val="0032038C"/>
    <w:rsid w:val="00371D30"/>
    <w:rsid w:val="00383429"/>
    <w:rsid w:val="003F5C3D"/>
    <w:rsid w:val="00425271"/>
    <w:rsid w:val="00441A71"/>
    <w:rsid w:val="00447945"/>
    <w:rsid w:val="00474B8B"/>
    <w:rsid w:val="004B6C83"/>
    <w:rsid w:val="004C2E46"/>
    <w:rsid w:val="004C6D3E"/>
    <w:rsid w:val="00513751"/>
    <w:rsid w:val="00590612"/>
    <w:rsid w:val="005C6302"/>
    <w:rsid w:val="005F05D8"/>
    <w:rsid w:val="006176A6"/>
    <w:rsid w:val="00642A16"/>
    <w:rsid w:val="00670FEA"/>
    <w:rsid w:val="00675E6A"/>
    <w:rsid w:val="006B5019"/>
    <w:rsid w:val="006E01C8"/>
    <w:rsid w:val="006E25A0"/>
    <w:rsid w:val="006E3606"/>
    <w:rsid w:val="006E749E"/>
    <w:rsid w:val="00740D4C"/>
    <w:rsid w:val="00757CF3"/>
    <w:rsid w:val="00774206"/>
    <w:rsid w:val="00790BC0"/>
    <w:rsid w:val="007B59D6"/>
    <w:rsid w:val="007F4138"/>
    <w:rsid w:val="008661D2"/>
    <w:rsid w:val="00866877"/>
    <w:rsid w:val="008A3192"/>
    <w:rsid w:val="008A7170"/>
    <w:rsid w:val="008B0DB8"/>
    <w:rsid w:val="008C597A"/>
    <w:rsid w:val="008C5F3F"/>
    <w:rsid w:val="009007AA"/>
    <w:rsid w:val="00904639"/>
    <w:rsid w:val="00906FD4"/>
    <w:rsid w:val="009209EC"/>
    <w:rsid w:val="00973EDB"/>
    <w:rsid w:val="00975340"/>
    <w:rsid w:val="009A62BD"/>
    <w:rsid w:val="009D2924"/>
    <w:rsid w:val="009E3E02"/>
    <w:rsid w:val="00A222E3"/>
    <w:rsid w:val="00A75275"/>
    <w:rsid w:val="00A7787C"/>
    <w:rsid w:val="00AB0643"/>
    <w:rsid w:val="00AB2F47"/>
    <w:rsid w:val="00AF59B0"/>
    <w:rsid w:val="00B10FEF"/>
    <w:rsid w:val="00B17C6C"/>
    <w:rsid w:val="00B232B3"/>
    <w:rsid w:val="00B41872"/>
    <w:rsid w:val="00B43E60"/>
    <w:rsid w:val="00B62E6F"/>
    <w:rsid w:val="00B9467F"/>
    <w:rsid w:val="00BC6653"/>
    <w:rsid w:val="00BD1657"/>
    <w:rsid w:val="00BD358D"/>
    <w:rsid w:val="00C0484A"/>
    <w:rsid w:val="00C162C8"/>
    <w:rsid w:val="00C249B1"/>
    <w:rsid w:val="00C40C91"/>
    <w:rsid w:val="00C538CA"/>
    <w:rsid w:val="00CA6A89"/>
    <w:rsid w:val="00CE71E3"/>
    <w:rsid w:val="00CF74CA"/>
    <w:rsid w:val="00D33E61"/>
    <w:rsid w:val="00D3466E"/>
    <w:rsid w:val="00D56C43"/>
    <w:rsid w:val="00D67CBB"/>
    <w:rsid w:val="00D825FB"/>
    <w:rsid w:val="00D971E0"/>
    <w:rsid w:val="00E056E5"/>
    <w:rsid w:val="00E20073"/>
    <w:rsid w:val="00E43C89"/>
    <w:rsid w:val="00E63B49"/>
    <w:rsid w:val="00E67FD2"/>
    <w:rsid w:val="00E80EA4"/>
    <w:rsid w:val="00EE77B9"/>
    <w:rsid w:val="00F309FC"/>
    <w:rsid w:val="00F32D67"/>
    <w:rsid w:val="00F37A40"/>
    <w:rsid w:val="00F43D22"/>
    <w:rsid w:val="00F60E3C"/>
    <w:rsid w:val="00F82702"/>
    <w:rsid w:val="00F851EE"/>
    <w:rsid w:val="00FC42D9"/>
    <w:rsid w:val="00FC4E38"/>
    <w:rsid w:val="00FC7B08"/>
    <w:rsid w:val="00FD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00C063-57BA-47BE-9AF1-454F3BC5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6A6"/>
    <w:pPr>
      <w:spacing w:after="120" w:line="240" w:lineRule="auto"/>
      <w:jc w:val="both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6176A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1"/>
    <w:qFormat/>
    <w:rsid w:val="006176A6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176A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6176A6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6176A6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6176A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176A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6176A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6176A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176A6"/>
    <w:rPr>
      <w:rFonts w:ascii="Arial" w:eastAsia="Batang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6176A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176A6"/>
    <w:rPr>
      <w:rFonts w:ascii="Arial" w:eastAsia="Batang" w:hAnsi="Arial" w:cs="Times New Roman"/>
      <w:b/>
      <w:bCs/>
      <w:sz w:val="20"/>
      <w:szCs w:val="26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176A6"/>
    <w:rPr>
      <w:rFonts w:ascii="Arial" w:eastAsia="Batang" w:hAnsi="Arial" w:cs="Times New Roman"/>
      <w:b/>
      <w:bCs/>
      <w:i/>
      <w:sz w:val="20"/>
      <w:szCs w:val="26"/>
      <w:lang w:val="x-none"/>
    </w:rPr>
  </w:style>
  <w:style w:type="character" w:customStyle="1" w:styleId="Heading5Char">
    <w:name w:val="Heading 5 Char"/>
    <w:basedOn w:val="DefaultParagraphFont"/>
    <w:link w:val="Heading5"/>
    <w:rsid w:val="006176A6"/>
    <w:rPr>
      <w:rFonts w:ascii="Arial" w:eastAsia="Batang" w:hAnsi="Arial" w:cs="Times New Roman"/>
      <w:b/>
      <w:iCs/>
      <w:sz w:val="18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6176A6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6176A6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176A6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176A6"/>
    <w:rPr>
      <w:rFonts w:ascii="Arial" w:eastAsia="Batang" w:hAnsi="Arial" w:cs="Arial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176A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176A6"/>
    <w:rPr>
      <w:rFonts w:ascii="Times" w:eastAsia="Batang" w:hAnsi="Times" w:cs="Times New Roman"/>
      <w:sz w:val="20"/>
      <w:szCs w:val="24"/>
      <w:lang w:val="en-GB"/>
    </w:rPr>
  </w:style>
  <w:style w:type="paragraph" w:customStyle="1" w:styleId="LGTdoc">
    <w:name w:val="LGTdoc_본문"/>
    <w:basedOn w:val="Normal"/>
    <w:rsid w:val="006176A6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Heading2Char1">
    <w:name w:val="Heading 2 Char1"/>
    <w:aliases w:val="H2 Char1,h2 Char1,Head2A Char,2 Char,UNDERRUBRIK 1-2 Char,DO NOT USE_h2 Char,h21 Char,H2 Char Char,h2 Char Char"/>
    <w:basedOn w:val="DefaultParagraphFont"/>
    <w:link w:val="Heading2"/>
    <w:rsid w:val="006176A6"/>
    <w:rPr>
      <w:rFonts w:ascii="Times New Roman" w:eastAsia="Batang" w:hAnsi="Times New Roman" w:cs="Arial"/>
      <w:b/>
      <w:bCs/>
      <w:iCs/>
      <w:sz w:val="24"/>
      <w:szCs w:val="28"/>
      <w:lang w:val="en-GB"/>
    </w:rPr>
  </w:style>
  <w:style w:type="paragraph" w:customStyle="1" w:styleId="TdocHeading1">
    <w:name w:val="Tdoc_Heading_1"/>
    <w:basedOn w:val="Heading1"/>
    <w:next w:val="BodyText"/>
    <w:autoRedefine/>
    <w:rsid w:val="006176A6"/>
    <w:pPr>
      <w:numPr>
        <w:numId w:val="3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176A6"/>
  </w:style>
  <w:style w:type="character" w:customStyle="1" w:styleId="BodyTextChar">
    <w:name w:val="Body Text Char"/>
    <w:basedOn w:val="DefaultParagraphFont"/>
    <w:link w:val="BodyText"/>
    <w:uiPriority w:val="99"/>
    <w:semiHidden/>
    <w:rsid w:val="006176A6"/>
    <w:rPr>
      <w:rFonts w:ascii="Times" w:eastAsia="Batang" w:hAnsi="Times" w:cs="Times New Roman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6176A6"/>
    <w:pPr>
      <w:spacing w:after="0" w:line="240" w:lineRule="auto"/>
    </w:pPr>
    <w:rPr>
      <w:rFonts w:ascii="Calibri" w:eastAsia="SimSun" w:hAnsi="Calibri" w:cs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17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6F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16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657"/>
    <w:rPr>
      <w:rFonts w:ascii="Segoe UI" w:eastAsia="Batang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1060</Words>
  <Characters>5726</Characters>
  <Application>Microsoft Office Word</Application>
  <DocSecurity>0</DocSecurity>
  <Lines>83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Cruz, Tom</dc:creator>
  <cp:keywords>CTPClassification=CTP_NT</cp:keywords>
  <dc:description/>
  <cp:lastModifiedBy>Intel</cp:lastModifiedBy>
  <cp:revision>3</cp:revision>
  <cp:lastPrinted>2018-02-16T19:01:00Z</cp:lastPrinted>
  <dcterms:created xsi:type="dcterms:W3CDTF">2018-02-16T21:41:00Z</dcterms:created>
  <dcterms:modified xsi:type="dcterms:W3CDTF">2018-02-16T21:44:00Z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94ca81fb-61fa-4085-a2c8-dff4f8387e16</vt:lpwstr>
  </property>
  <property fmtid="{D5CDD505-2E9C-101B-9397-08002B2CF9AE}" pid="3" name="CTP_TimeStamp">
    <vt:lpwstr>2018-02-16 21:44:19Z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